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8717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5772F3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9F2DC1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67.080.10</w:t>
            </w:r>
            <w:r>
              <w:rPr>
                <w:rFonts w:ascii="黑体" w:hAnsi="黑体" w:eastAsia="黑体"/>
                <w:sz w:val="21"/>
                <w:szCs w:val="21"/>
              </w:rPr>
              <w:fldChar w:fldCharType="end"/>
            </w:r>
            <w:bookmarkEnd w:id="0"/>
          </w:p>
        </w:tc>
      </w:tr>
      <w:tr w14:paraId="6F029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A2B3A8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4B08BA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4CFB104D">
                  <w:pPr>
                    <w:pStyle w:val="50"/>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CNCAIA</w:t>
                  </w:r>
                  <w:r>
                    <w:fldChar w:fldCharType="end"/>
                  </w:r>
                  <w:bookmarkEnd w:id="1"/>
                </w:p>
              </w:tc>
            </w:tr>
          </w:tbl>
          <w:p w14:paraId="526BA91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31</w:t>
            </w:r>
            <w:r>
              <w:rPr>
                <w:rFonts w:ascii="黑体" w:hAnsi="黑体" w:eastAsia="黑体"/>
                <w:sz w:val="21"/>
                <w:szCs w:val="21"/>
              </w:rPr>
              <w:fldChar w:fldCharType="end"/>
            </w:r>
            <w:bookmarkEnd w:id="2"/>
          </w:p>
        </w:tc>
      </w:tr>
    </w:tbl>
    <w:p w14:paraId="29D28E03">
      <w:pPr>
        <w:pStyle w:val="51"/>
        <w:framePr w:w="9639" w:h="624" w:hRule="exact" w:hSpace="181" w:vSpace="181"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中国苹果产业协会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04DB266C">
      <w:pPr>
        <w:pStyle w:val="196"/>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2AF1232B">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368107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A492B0E">
      <w:pPr>
        <w:pStyle w:val="51"/>
        <w:framePr w:w="9639" w:h="6976" w:hRule="exact" w:hSpace="0" w:vSpace="0" w:hAnchor="page" w:y="6408"/>
        <w:jc w:val="center"/>
        <w:rPr>
          <w:rFonts w:ascii="黑体" w:hAnsi="黑体" w:eastAsia="黑体"/>
          <w:b w:val="0"/>
          <w:bCs w:val="0"/>
          <w:w w:val="100"/>
        </w:rPr>
      </w:pPr>
    </w:p>
    <w:p w14:paraId="13B64DF7">
      <w:pPr>
        <w:pStyle w:val="198"/>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红富士苹果等级和规格</w:t>
      </w:r>
      <w:r>
        <w:fldChar w:fldCharType="end"/>
      </w:r>
      <w:bookmarkEnd w:id="9"/>
    </w:p>
    <w:p w14:paraId="433706C2">
      <w:pPr>
        <w:framePr w:w="9639" w:h="6974" w:hRule="exact" w:wrap="around" w:vAnchor="page" w:hAnchor="page" w:x="1419" w:y="6408" w:anchorLock="1"/>
        <w:ind w:left="-1418"/>
      </w:pPr>
    </w:p>
    <w:p w14:paraId="2E6333C5">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Grades and specifications of red Fuji Apple</w:t>
      </w:r>
      <w:r>
        <w:rPr>
          <w:rFonts w:eastAsia="黑体"/>
          <w:szCs w:val="28"/>
        </w:rPr>
        <w:fldChar w:fldCharType="end"/>
      </w:r>
      <w:bookmarkEnd w:id="10"/>
    </w:p>
    <w:p w14:paraId="3F6B076A">
      <w:pPr>
        <w:framePr w:w="9639" w:h="6974" w:hRule="exact" w:wrap="around" w:vAnchor="page" w:hAnchor="page" w:x="1419" w:y="6408" w:anchorLock="1"/>
        <w:spacing w:line="760" w:lineRule="exact"/>
        <w:ind w:left="-1418"/>
      </w:pPr>
    </w:p>
    <w:p w14:paraId="743F7BCB">
      <w:pPr>
        <w:pStyle w:val="126"/>
        <w:framePr w:w="9639" w:h="6974" w:hRule="exact" w:wrap="around" w:vAnchor="page" w:hAnchor="page" w:x="1419" w:y="6408" w:anchorLock="1"/>
        <w:textAlignment w:val="bottom"/>
        <w:rPr>
          <w:rFonts w:eastAsia="黑体"/>
          <w:szCs w:val="28"/>
        </w:rPr>
      </w:pPr>
    </w:p>
    <w:p w14:paraId="7142DA1F">
      <w:pPr>
        <w:pStyle w:val="126"/>
        <w:framePr w:w="9639" w:h="6974" w:hRule="exact" w:wrap="around" w:vAnchor="page" w:hAnchor="page" w:x="1419" w:y="6408" w:anchorLock="1"/>
        <w:spacing w:before="44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4155D27F">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539F9C50">
      <w:pPr>
        <w:pStyle w:val="126"/>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F784956">
      <w:pPr>
        <w:pStyle w:val="194"/>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9C75E00">
      <w:pPr>
        <w:pStyle w:val="195"/>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8CDDE42">
      <w:pPr>
        <w:pStyle w:val="152"/>
        <w:framePr w:h="584" w:hRule="exact" w:hSpace="181" w:vSpace="181"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中国苹果产业协会</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952E944">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8AD1665">
      <w:pPr>
        <w:pStyle w:val="90"/>
        <w:spacing w:before="900" w:after="360"/>
      </w:pPr>
      <w:bookmarkStart w:id="21" w:name="BookMark2"/>
      <w:r>
        <w:rPr>
          <w:spacing w:val="320"/>
        </w:rPr>
        <w:t>前</w:t>
      </w:r>
      <w:r>
        <w:t>言</w:t>
      </w:r>
    </w:p>
    <w:p w14:paraId="14628078">
      <w:pPr>
        <w:pStyle w:val="57"/>
        <w:ind w:firstLine="420"/>
      </w:pPr>
      <w:r>
        <w:rPr>
          <w:rFonts w:hint="eastAsia"/>
        </w:rPr>
        <w:t>本文件按照GB/T 1.1—2020《标准化工作导则  第1部分：标准化文件的结构和起草规则》的规定起草。</w:t>
      </w:r>
    </w:p>
    <w:p w14:paraId="32C682A3">
      <w:pPr>
        <w:pStyle w:val="57"/>
        <w:ind w:firstLine="420"/>
      </w:pPr>
      <w:r>
        <w:rPr>
          <w:rFonts w:hint="eastAsia"/>
        </w:rPr>
        <w:t>请注意本文件的某些内容可能涉及专利。本文件的发布机构不承担识别专利的责任。</w:t>
      </w:r>
    </w:p>
    <w:p w14:paraId="4E2FAD5E">
      <w:pPr>
        <w:pStyle w:val="57"/>
        <w:ind w:firstLine="420"/>
      </w:pPr>
      <w:r>
        <w:rPr>
          <w:rFonts w:hint="eastAsia"/>
        </w:rPr>
        <w:t>本文件由中国苹果产业协会提出并归口。</w:t>
      </w:r>
    </w:p>
    <w:p w14:paraId="620DEEDE">
      <w:pPr>
        <w:pStyle w:val="57"/>
        <w:ind w:firstLine="420"/>
        <w:rPr>
          <w:rFonts w:hint="eastAsia"/>
        </w:rPr>
      </w:pPr>
      <w:r>
        <w:rPr>
          <w:rFonts w:hint="eastAsia"/>
        </w:rPr>
        <w:t>本文件起草单位：</w:t>
      </w:r>
    </w:p>
    <w:p w14:paraId="0F9A500E">
      <w:pPr>
        <w:pStyle w:val="57"/>
        <w:ind w:firstLine="420"/>
      </w:pPr>
      <w:bookmarkStart w:id="53" w:name="_GoBack"/>
      <w:bookmarkEnd w:id="53"/>
      <w:r>
        <w:rPr>
          <w:rFonts w:hint="eastAsia"/>
        </w:rPr>
        <w:t>本文件主要起草人：</w:t>
      </w:r>
    </w:p>
    <w:p w14:paraId="13733E87">
      <w:pPr>
        <w:pStyle w:val="57"/>
        <w:ind w:firstLine="420"/>
      </w:pPr>
    </w:p>
    <w:p w14:paraId="6E76CEF7">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p>
    <w:bookmarkEnd w:id="21"/>
    <w:p w14:paraId="05C9CD51">
      <w:pPr>
        <w:spacing w:line="20" w:lineRule="exact"/>
        <w:jc w:val="center"/>
        <w:rPr>
          <w:rFonts w:ascii="黑体" w:hAnsi="黑体" w:eastAsia="黑体"/>
          <w:sz w:val="32"/>
          <w:szCs w:val="32"/>
        </w:rPr>
      </w:pPr>
      <w:bookmarkStart w:id="22" w:name="BookMark4"/>
    </w:p>
    <w:p w14:paraId="7E2D771B">
      <w:pPr>
        <w:spacing w:line="20" w:lineRule="exact"/>
        <w:jc w:val="center"/>
        <w:rPr>
          <w:rFonts w:ascii="黑体" w:hAnsi="黑体" w:eastAsia="黑体"/>
          <w:sz w:val="32"/>
          <w:szCs w:val="32"/>
        </w:rPr>
      </w:pPr>
    </w:p>
    <w:sdt>
      <w:sdtPr>
        <w:tag w:val="NEW_STAND_NAME"/>
        <w:id w:val="595910757"/>
        <w:lock w:val="sdtLocked"/>
        <w:placeholder>
          <w:docPart w:val="CC5FD3B190464411BB22B226770FBA3E"/>
        </w:placeholder>
      </w:sdtPr>
      <w:sdtContent>
        <w:p w14:paraId="0E9F69A6">
          <w:pPr>
            <w:pStyle w:val="178"/>
            <w:bidi w:val="0"/>
            <w:spacing w:before="313" w:beforeLines="100" w:after="687" w:afterLines="220"/>
          </w:pPr>
          <w:bookmarkStart w:id="23" w:name="NEW_STAND_NAME"/>
          <w:r>
            <w:rPr>
              <w:rFonts w:hint="eastAsia"/>
              <w:lang w:eastAsia="zh-CN"/>
            </w:rPr>
            <w:t>红富士苹果等级和规格</w:t>
          </w:r>
        </w:p>
      </w:sdtContent>
    </w:sdt>
    <w:bookmarkEnd w:id="23"/>
    <w:p w14:paraId="7276CDE2">
      <w:pPr>
        <w:pStyle w:val="105"/>
        <w:spacing w:before="240" w:after="240"/>
      </w:pPr>
      <w:bookmarkStart w:id="24" w:name="_Toc26986771"/>
      <w:bookmarkStart w:id="25" w:name="_Toc17233333"/>
      <w:bookmarkStart w:id="26" w:name="_Toc97192964"/>
      <w:bookmarkStart w:id="27" w:name="_Toc26648465"/>
      <w:bookmarkStart w:id="28" w:name="_Toc24884218"/>
      <w:bookmarkStart w:id="29" w:name="_Toc26986530"/>
      <w:bookmarkStart w:id="30" w:name="_Toc26718930"/>
      <w:bookmarkStart w:id="31" w:name="_Toc24884211"/>
      <w:bookmarkStart w:id="32" w:name="_Toc17233325"/>
      <w:r>
        <w:rPr>
          <w:rFonts w:hint="eastAsia"/>
        </w:rPr>
        <w:t>范围</w:t>
      </w:r>
      <w:bookmarkEnd w:id="24"/>
      <w:bookmarkEnd w:id="25"/>
      <w:bookmarkEnd w:id="26"/>
      <w:bookmarkEnd w:id="27"/>
      <w:bookmarkEnd w:id="28"/>
      <w:bookmarkEnd w:id="29"/>
      <w:bookmarkEnd w:id="30"/>
      <w:bookmarkEnd w:id="31"/>
      <w:bookmarkEnd w:id="32"/>
    </w:p>
    <w:p w14:paraId="0EE8310E">
      <w:pPr>
        <w:pStyle w:val="57"/>
        <w:ind w:firstLine="420"/>
      </w:pPr>
      <w:bookmarkStart w:id="33" w:name="_Toc24884219"/>
      <w:bookmarkStart w:id="34" w:name="_Toc26648466"/>
      <w:bookmarkStart w:id="35" w:name="_Toc24884212"/>
      <w:bookmarkStart w:id="36" w:name="_Toc17233334"/>
      <w:bookmarkStart w:id="37" w:name="_Toc17233326"/>
      <w:r>
        <w:rPr>
          <w:rFonts w:hint="eastAsia"/>
        </w:rPr>
        <w:t>本文件规定了红富士苹果的分级要求、规格、外观、检验规则和容许度。</w:t>
      </w:r>
    </w:p>
    <w:p w14:paraId="59E11DD8">
      <w:pPr>
        <w:pStyle w:val="57"/>
        <w:ind w:firstLine="420"/>
        <w:rPr>
          <w:rFonts w:hint="eastAsia"/>
        </w:rPr>
      </w:pPr>
      <w:r>
        <w:rPr>
          <w:rFonts w:hint="eastAsia"/>
          <w:lang w:eastAsia="zh-CN"/>
        </w:rPr>
        <w:t>本文件适用于符合中国安全卫生要求的红富士苹果。</w:t>
      </w:r>
    </w:p>
    <w:p w14:paraId="6A0C4B2C">
      <w:pPr>
        <w:pStyle w:val="57"/>
        <w:ind w:firstLine="420"/>
      </w:pPr>
      <w:r>
        <w:rPr>
          <w:rFonts w:hint="eastAsia"/>
        </w:rPr>
        <w:t>本文件适用于鲜食红富士苹果的生产、收购和销售。</w:t>
      </w:r>
    </w:p>
    <w:p w14:paraId="45885360">
      <w:pPr>
        <w:pStyle w:val="105"/>
        <w:spacing w:before="240" w:after="240"/>
      </w:pPr>
      <w:bookmarkStart w:id="38" w:name="_Toc26986772"/>
      <w:bookmarkStart w:id="39" w:name="_Toc26718931"/>
      <w:bookmarkStart w:id="40" w:name="_Toc97192965"/>
      <w:bookmarkStart w:id="41" w:name="_Toc26986531"/>
      <w:r>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70480EBC1F044E3CBCA437EFD6C4970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6E0E5BC">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C48F874">
      <w:pPr>
        <w:pStyle w:val="57"/>
        <w:ind w:firstLine="420"/>
      </w:pPr>
      <w:r>
        <w:rPr>
          <w:rFonts w:hint="eastAsia"/>
        </w:rPr>
        <w:t>GB/T 8855 新鲜果蔬 取样方法</w:t>
      </w:r>
    </w:p>
    <w:p w14:paraId="437D93F8">
      <w:pPr>
        <w:pStyle w:val="57"/>
        <w:ind w:firstLine="420"/>
      </w:pPr>
      <w:bookmarkStart w:id="42" w:name="OLE_LINK9"/>
      <w:r>
        <w:rPr>
          <w:rFonts w:hint="eastAsia"/>
        </w:rPr>
        <w:t>GB/T 10651 鲜苹果</w:t>
      </w:r>
    </w:p>
    <w:bookmarkEnd w:id="42"/>
    <w:p w14:paraId="12BA2D44">
      <w:pPr>
        <w:pStyle w:val="105"/>
        <w:spacing w:before="240" w:after="240"/>
      </w:pPr>
      <w:bookmarkStart w:id="43" w:name="_Toc97192966"/>
      <w:r>
        <w:rPr>
          <w:rFonts w:hint="eastAsia"/>
          <w:szCs w:val="21"/>
        </w:rPr>
        <w:t>术语和定义</w:t>
      </w:r>
      <w:bookmarkEnd w:id="43"/>
    </w:p>
    <w:sdt>
      <w:sdtPr>
        <w:id w:val="-1909835108"/>
        <w:placeholder>
          <w:docPart w:val="9DC2B774A5CE44A3B4BE0F4503990DC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2D1112">
          <w:pPr>
            <w:pStyle w:val="57"/>
            <w:ind w:firstLine="420"/>
          </w:pPr>
          <w:bookmarkStart w:id="44" w:name="_Toc26986532"/>
          <w:bookmarkEnd w:id="44"/>
          <w:r>
            <w:rPr>
              <w:rFonts w:hint="eastAsia"/>
            </w:rPr>
            <w:t>GB/T 10651 鲜苹果</w:t>
          </w:r>
          <w:r>
            <w:t>界定的以及下列术语和定义适用于本文件。</w:t>
          </w:r>
        </w:p>
      </w:sdtContent>
    </w:sdt>
    <w:p w14:paraId="15122958">
      <w:pPr>
        <w:pStyle w:val="224"/>
        <w:ind w:left="420" w:hanging="420" w:hangingChars="200"/>
        <w:rPr>
          <w:rFonts w:ascii="黑体" w:hAnsi="黑体" w:eastAsia="黑体"/>
        </w:rPr>
      </w:pPr>
    </w:p>
    <w:p w14:paraId="449C3542">
      <w:pPr>
        <w:pStyle w:val="57"/>
        <w:ind w:firstLine="420"/>
        <w:rPr>
          <w:rFonts w:ascii="黑体" w:hAnsi="黑体" w:eastAsia="黑体" w:cs="黑体"/>
        </w:rPr>
      </w:pPr>
      <w:r>
        <w:rPr>
          <w:rFonts w:hint="eastAsia" w:ascii="黑体" w:hAnsi="黑体" w:eastAsia="黑体" w:cs="黑体"/>
        </w:rPr>
        <w:t>横径 transverse diameter</w:t>
      </w:r>
    </w:p>
    <w:p w14:paraId="0BE3D516">
      <w:pPr>
        <w:pStyle w:val="57"/>
        <w:ind w:firstLine="420"/>
      </w:pPr>
      <w:r>
        <w:rPr>
          <w:rFonts w:hint="eastAsia"/>
        </w:rPr>
        <w:t>苹果果实沿中心轴切开，垂直于中心轴的最大直径。</w:t>
      </w:r>
    </w:p>
    <w:p w14:paraId="501FC5FC">
      <w:pPr>
        <w:pStyle w:val="224"/>
        <w:ind w:left="420" w:hanging="420" w:hangingChars="200"/>
        <w:rPr>
          <w:rFonts w:ascii="Times New Roman" w:eastAsia="黑体"/>
        </w:rPr>
      </w:pPr>
    </w:p>
    <w:p w14:paraId="5C464B64">
      <w:pPr>
        <w:pStyle w:val="224"/>
        <w:numPr>
          <w:ilvl w:val="2"/>
          <w:numId w:val="0"/>
        </w:numPr>
        <w:ind w:left="-420" w:leftChars="-200" w:firstLine="840" w:firstLineChars="400"/>
        <w:rPr>
          <w:rFonts w:ascii="Times New Roman" w:eastAsia="黑体"/>
        </w:rPr>
      </w:pPr>
      <w:r>
        <w:rPr>
          <w:rFonts w:hint="eastAsia" w:ascii="黑体" w:hAnsi="黑体" w:eastAsia="黑体" w:cs="黑体"/>
        </w:rPr>
        <w:t>日灼伤 sun burn</w:t>
      </w:r>
    </w:p>
    <w:p w14:paraId="50E98EFF">
      <w:pPr>
        <w:pStyle w:val="57"/>
        <w:ind w:firstLine="420"/>
      </w:pPr>
      <w:r>
        <w:rPr>
          <w:rFonts w:hint="eastAsia"/>
        </w:rPr>
        <w:t>果实表面因受强烈日光照射导致的表皮灼伤变色形成斑块、近皮果肉干枯或木栓化。</w:t>
      </w:r>
    </w:p>
    <w:p w14:paraId="46A45FFE">
      <w:pPr>
        <w:pStyle w:val="224"/>
        <w:ind w:left="420" w:hanging="420" w:hangingChars="200"/>
        <w:rPr>
          <w:rFonts w:ascii="黑体" w:hAnsi="黑体" w:eastAsia="黑体" w:cs="黑体"/>
        </w:rPr>
      </w:pPr>
      <w:r>
        <w:rPr>
          <w:rFonts w:ascii="黑体" w:hAnsi="黑体" w:eastAsia="黑体"/>
        </w:rPr>
        <w:br w:type="textWrapping"/>
      </w:r>
      <w:r>
        <w:rPr>
          <w:rFonts w:hint="eastAsia" w:ascii="黑体" w:hAnsi="黑体" w:eastAsia="黑体" w:cs="黑体"/>
        </w:rPr>
        <w:t xml:space="preserve">偏斜度 </w:t>
      </w:r>
      <w:bookmarkStart w:id="45" w:name="OLE_LINK8"/>
      <w:bookmarkStart w:id="46" w:name="OLE_LINK4"/>
      <w:r>
        <w:rPr>
          <w:rFonts w:hint="eastAsia" w:ascii="黑体" w:hAnsi="黑体" w:eastAsia="黑体" w:cs="黑体"/>
        </w:rPr>
        <w:t>oblique-shaped</w:t>
      </w:r>
      <w:bookmarkEnd w:id="45"/>
      <w:bookmarkEnd w:id="46"/>
    </w:p>
    <w:p w14:paraId="33A8C8A0">
      <w:pPr>
        <w:pStyle w:val="57"/>
        <w:ind w:firstLine="420"/>
      </w:pPr>
      <w:r>
        <w:rPr>
          <w:rFonts w:hint="eastAsia"/>
        </w:rPr>
        <w:t>果实因授粉受精不良、种子分布不均等因素，导致的果实发育不对称，两侧肩部一边大、一边小的程度。</w:t>
      </w:r>
    </w:p>
    <w:p w14:paraId="32016270">
      <w:pPr>
        <w:pStyle w:val="224"/>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偏斜果 </w:t>
      </w:r>
      <w:r>
        <w:rPr>
          <w:rFonts w:hint="eastAsia" w:ascii="黑体" w:hAnsi="黑体" w:eastAsia="黑体" w:cs="黑体"/>
        </w:rPr>
        <w:t xml:space="preserve">oblique-shaped </w:t>
      </w:r>
      <w:r>
        <w:rPr>
          <w:rFonts w:ascii="黑体" w:hAnsi="黑体" w:eastAsia="黑体" w:cs="黑体"/>
        </w:rPr>
        <w:t>fruit</w:t>
      </w:r>
    </w:p>
    <w:p w14:paraId="1B29578B">
      <w:pPr>
        <w:pStyle w:val="224"/>
        <w:numPr>
          <w:ilvl w:val="0"/>
          <w:numId w:val="0"/>
        </w:numPr>
        <w:ind w:left="420"/>
        <w:rPr>
          <w:rFonts w:hAnsi="宋体"/>
        </w:rPr>
      </w:pPr>
      <w:r>
        <w:rPr>
          <w:rFonts w:hint="eastAsia" w:hAnsi="宋体"/>
        </w:rPr>
        <w:t>偏斜度超过15%的果实。</w:t>
      </w:r>
    </w:p>
    <w:p w14:paraId="2A667C4C">
      <w:pPr>
        <w:widowControl/>
        <w:adjustRightInd/>
        <w:spacing w:after="0" w:line="240" w:lineRule="auto"/>
        <w:jc w:val="left"/>
        <w:rPr>
          <w:rFonts w:ascii="宋体" w:hAnsi="宋体"/>
          <w:kern w:val="0"/>
          <w:szCs w:val="20"/>
        </w:rPr>
      </w:pPr>
      <w:r>
        <w:rPr>
          <w:rFonts w:hAnsi="宋体"/>
        </w:rPr>
        <w:br w:type="page"/>
      </w:r>
    </w:p>
    <w:p w14:paraId="70D74685">
      <w:pPr>
        <w:pStyle w:val="105"/>
        <w:spacing w:before="240" w:after="240"/>
        <w:rPr>
          <w:rFonts w:ascii="Times New Roman"/>
          <w:color w:val="000000"/>
          <w:sz w:val="20"/>
        </w:rPr>
      </w:pPr>
      <w:r>
        <w:rPr>
          <w:rFonts w:hint="eastAsia"/>
        </w:rPr>
        <w:t>等级和规格</w:t>
      </w:r>
      <w:r>
        <w:t>要求</w:t>
      </w:r>
    </w:p>
    <w:p w14:paraId="3239D91A">
      <w:pPr>
        <w:pStyle w:val="25"/>
        <w:spacing w:before="0" w:beforeAutospacing="0" w:after="0" w:afterAutospacing="0"/>
        <w:jc w:val="both"/>
        <w:rPr>
          <w:rFonts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rPr>
        <w:t>4.1 等级要求</w:t>
      </w:r>
    </w:p>
    <w:p w14:paraId="37F86F7D">
      <w:pPr>
        <w:pStyle w:val="25"/>
        <w:spacing w:before="0" w:beforeAutospacing="0" w:after="0" w:afterAutospacing="0"/>
        <w:ind w:firstLine="400" w:firstLineChars="200"/>
        <w:rPr>
          <w:rFonts w:ascii="Times New Roman" w:hAnsi="Times New Roman" w:cs="Times New Roman"/>
          <w:color w:val="000000"/>
          <w:sz w:val="20"/>
          <w:szCs w:val="20"/>
        </w:rPr>
      </w:pPr>
      <w:r>
        <w:rPr>
          <w:rFonts w:cs="Times New Roman"/>
          <w:color w:val="000000"/>
          <w:sz w:val="20"/>
          <w:szCs w:val="20"/>
        </w:rPr>
        <w:t>分为</w:t>
      </w:r>
      <w:r>
        <w:rPr>
          <w:rFonts w:hint="eastAsia" w:cs="Times New Roman"/>
          <w:color w:val="000000"/>
          <w:sz w:val="20"/>
          <w:szCs w:val="20"/>
        </w:rPr>
        <w:t>特级、一级、二级</w:t>
      </w:r>
      <w:r>
        <w:rPr>
          <w:rFonts w:cs="Times New Roman"/>
          <w:color w:val="000000"/>
          <w:sz w:val="20"/>
          <w:szCs w:val="20"/>
        </w:rPr>
        <w:t>，</w:t>
      </w:r>
      <w:r>
        <w:rPr>
          <w:rFonts w:hint="eastAsia" w:cs="Times New Roman"/>
          <w:color w:val="000000"/>
          <w:sz w:val="20"/>
          <w:szCs w:val="20"/>
        </w:rPr>
        <w:t>各等级要求</w:t>
      </w:r>
      <w:r>
        <w:rPr>
          <w:rFonts w:cs="Times New Roman"/>
          <w:color w:val="000000"/>
          <w:sz w:val="20"/>
          <w:szCs w:val="20"/>
        </w:rPr>
        <w:t>应符合表</w:t>
      </w:r>
      <w:r>
        <w:rPr>
          <w:rFonts w:ascii="Times New Roman" w:hAnsi="Times New Roman" w:cs="Times New Roman"/>
          <w:color w:val="000000"/>
          <w:sz w:val="20"/>
          <w:szCs w:val="20"/>
        </w:rPr>
        <w:t>1</w:t>
      </w:r>
      <w:r>
        <w:rPr>
          <w:rFonts w:hint="eastAsia" w:ascii="Times New Roman" w:hAnsi="Times New Roman" w:cs="Times New Roman"/>
          <w:color w:val="000000"/>
          <w:sz w:val="20"/>
          <w:szCs w:val="20"/>
        </w:rPr>
        <w:t>规定</w:t>
      </w:r>
      <w:r>
        <w:rPr>
          <w:rFonts w:cs="Times New Roman"/>
          <w:color w:val="000000"/>
          <w:sz w:val="20"/>
          <w:szCs w:val="20"/>
        </w:rPr>
        <w:t>。</w:t>
      </w:r>
    </w:p>
    <w:p w14:paraId="7B1C6212">
      <w:pPr>
        <w:pStyle w:val="113"/>
        <w:spacing w:before="120" w:after="120"/>
        <w:rPr>
          <w:rFonts w:ascii="Times New Roman"/>
          <w:color w:val="000000"/>
          <w:sz w:val="20"/>
        </w:rPr>
      </w:pPr>
      <w:r>
        <w:rPr>
          <w:rFonts w:hAnsi="黑体"/>
          <w:color w:val="000000"/>
          <w:sz w:val="20"/>
        </w:rPr>
        <w:t>等级要求</w:t>
      </w:r>
    </w:p>
    <w:tbl>
      <w:tblPr>
        <w:tblStyle w:val="27"/>
        <w:tblW w:w="87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410"/>
        <w:gridCol w:w="2410"/>
        <w:gridCol w:w="2270"/>
      </w:tblGrid>
      <w:tr w14:paraId="35013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vMerge w:val="restart"/>
            <w:tcBorders>
              <w:top w:val="single" w:color="auto" w:sz="4" w:space="0"/>
              <w:left w:val="single" w:color="auto" w:sz="4" w:space="0"/>
              <w:bottom w:val="single" w:color="auto" w:sz="4" w:space="0"/>
              <w:right w:val="single" w:color="auto" w:sz="4" w:space="0"/>
            </w:tcBorders>
            <w:vAlign w:val="center"/>
          </w:tcPr>
          <w:p w14:paraId="1747C900">
            <w:pPr>
              <w:pStyle w:val="231"/>
              <w:ind w:firstLine="0" w:firstLineChars="0"/>
              <w:jc w:val="center"/>
              <w:rPr>
                <w:rFonts w:hAnsi="宋体"/>
                <w:color w:val="000000"/>
                <w:sz w:val="20"/>
                <w:szCs w:val="20"/>
              </w:rPr>
            </w:pPr>
            <w:r>
              <w:rPr>
                <w:rFonts w:hint="eastAsia" w:hAnsi="宋体"/>
                <w:color w:val="000000"/>
                <w:sz w:val="20"/>
                <w:szCs w:val="20"/>
              </w:rPr>
              <w:t>项目</w:t>
            </w:r>
          </w:p>
        </w:tc>
        <w:tc>
          <w:tcPr>
            <w:tcW w:w="7090" w:type="dxa"/>
            <w:gridSpan w:val="3"/>
            <w:tcBorders>
              <w:top w:val="single" w:color="auto" w:sz="4" w:space="0"/>
              <w:left w:val="nil"/>
              <w:bottom w:val="single" w:color="auto" w:sz="4" w:space="0"/>
              <w:right w:val="single" w:color="auto" w:sz="4" w:space="0"/>
            </w:tcBorders>
            <w:vAlign w:val="center"/>
          </w:tcPr>
          <w:p w14:paraId="66A8EC63">
            <w:pPr>
              <w:pStyle w:val="231"/>
              <w:ind w:firstLine="0" w:firstLineChars="0"/>
              <w:jc w:val="center"/>
              <w:rPr>
                <w:rFonts w:hAnsi="宋体"/>
                <w:color w:val="000000"/>
                <w:sz w:val="20"/>
                <w:szCs w:val="20"/>
              </w:rPr>
            </w:pPr>
            <w:r>
              <w:rPr>
                <w:rFonts w:hint="eastAsia" w:hAnsi="宋体"/>
                <w:color w:val="000000"/>
                <w:sz w:val="20"/>
                <w:szCs w:val="20"/>
              </w:rPr>
              <w:t>等级</w:t>
            </w:r>
          </w:p>
        </w:tc>
      </w:tr>
      <w:tr w14:paraId="726A7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vMerge w:val="continue"/>
            <w:tcBorders>
              <w:top w:val="single" w:color="auto" w:sz="4" w:space="0"/>
              <w:left w:val="single" w:color="auto" w:sz="4" w:space="0"/>
              <w:bottom w:val="single" w:color="auto" w:sz="4" w:space="0"/>
              <w:right w:val="single" w:color="auto" w:sz="4" w:space="0"/>
            </w:tcBorders>
            <w:vAlign w:val="center"/>
          </w:tcPr>
          <w:p w14:paraId="6E0DBF78">
            <w:pPr>
              <w:widowControl/>
              <w:jc w:val="left"/>
              <w:rPr>
                <w:rFonts w:ascii="宋体" w:hAnsi="宋体"/>
                <w:color w:val="000000"/>
                <w:kern w:val="0"/>
                <w:sz w:val="20"/>
                <w:szCs w:val="20"/>
              </w:rPr>
            </w:pPr>
          </w:p>
        </w:tc>
        <w:tc>
          <w:tcPr>
            <w:tcW w:w="2410" w:type="dxa"/>
            <w:tcBorders>
              <w:top w:val="single" w:color="auto" w:sz="4" w:space="0"/>
              <w:left w:val="nil"/>
              <w:bottom w:val="single" w:color="auto" w:sz="4" w:space="0"/>
              <w:right w:val="single" w:color="auto" w:sz="4" w:space="0"/>
            </w:tcBorders>
            <w:vAlign w:val="center"/>
          </w:tcPr>
          <w:p w14:paraId="62DE345F">
            <w:pPr>
              <w:pStyle w:val="231"/>
              <w:ind w:firstLine="0" w:firstLineChars="0"/>
              <w:jc w:val="center"/>
              <w:rPr>
                <w:rFonts w:hAnsi="宋体"/>
                <w:color w:val="000000"/>
                <w:sz w:val="20"/>
                <w:szCs w:val="20"/>
              </w:rPr>
            </w:pPr>
            <w:r>
              <w:rPr>
                <w:rFonts w:hint="eastAsia" w:hAnsi="宋体"/>
                <w:color w:val="000000"/>
                <w:sz w:val="20"/>
                <w:szCs w:val="20"/>
              </w:rPr>
              <w:t>特级</w:t>
            </w:r>
          </w:p>
        </w:tc>
        <w:tc>
          <w:tcPr>
            <w:tcW w:w="2410" w:type="dxa"/>
            <w:tcBorders>
              <w:top w:val="single" w:color="auto" w:sz="4" w:space="0"/>
              <w:left w:val="nil"/>
              <w:bottom w:val="single" w:color="auto" w:sz="4" w:space="0"/>
              <w:right w:val="single" w:color="auto" w:sz="4" w:space="0"/>
            </w:tcBorders>
            <w:vAlign w:val="center"/>
          </w:tcPr>
          <w:p w14:paraId="668B3C89">
            <w:pPr>
              <w:pStyle w:val="231"/>
              <w:ind w:left="252" w:hanging="252" w:hangingChars="126"/>
              <w:jc w:val="center"/>
              <w:rPr>
                <w:rFonts w:hAnsi="宋体"/>
                <w:color w:val="000000"/>
                <w:sz w:val="20"/>
                <w:szCs w:val="20"/>
              </w:rPr>
            </w:pPr>
            <w:r>
              <w:rPr>
                <w:rFonts w:hint="eastAsia" w:hAnsi="宋体"/>
                <w:color w:val="000000"/>
                <w:sz w:val="20"/>
                <w:szCs w:val="20"/>
              </w:rPr>
              <w:t>一级</w:t>
            </w:r>
          </w:p>
        </w:tc>
        <w:tc>
          <w:tcPr>
            <w:tcW w:w="2270" w:type="dxa"/>
            <w:tcBorders>
              <w:top w:val="single" w:color="auto" w:sz="4" w:space="0"/>
              <w:left w:val="nil"/>
              <w:bottom w:val="single" w:color="auto" w:sz="4" w:space="0"/>
              <w:right w:val="single" w:color="auto" w:sz="4" w:space="0"/>
            </w:tcBorders>
            <w:vAlign w:val="center"/>
          </w:tcPr>
          <w:p w14:paraId="4E1D14BD">
            <w:pPr>
              <w:pStyle w:val="231"/>
              <w:ind w:firstLine="0" w:firstLineChars="0"/>
              <w:jc w:val="center"/>
              <w:rPr>
                <w:rFonts w:hAnsi="宋体"/>
                <w:color w:val="000000"/>
                <w:sz w:val="20"/>
                <w:szCs w:val="20"/>
              </w:rPr>
            </w:pPr>
            <w:r>
              <w:rPr>
                <w:rFonts w:hint="eastAsia" w:hAnsi="宋体"/>
                <w:color w:val="000000"/>
                <w:sz w:val="20"/>
                <w:szCs w:val="20"/>
              </w:rPr>
              <w:t>二级</w:t>
            </w:r>
          </w:p>
        </w:tc>
      </w:tr>
      <w:tr w14:paraId="6C640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696" w:type="dxa"/>
            <w:tcBorders>
              <w:top w:val="single" w:color="auto" w:sz="4" w:space="0"/>
              <w:left w:val="single" w:color="auto" w:sz="4" w:space="0"/>
              <w:bottom w:val="single" w:color="auto" w:sz="4" w:space="0"/>
              <w:right w:val="single" w:color="auto" w:sz="4" w:space="0"/>
            </w:tcBorders>
            <w:vAlign w:val="center"/>
          </w:tcPr>
          <w:p w14:paraId="0277A3DA">
            <w:pPr>
              <w:pStyle w:val="231"/>
              <w:ind w:firstLine="0" w:firstLineChars="0"/>
              <w:jc w:val="center"/>
              <w:rPr>
                <w:rFonts w:hAnsi="宋体"/>
                <w:color w:val="000000"/>
                <w:sz w:val="20"/>
                <w:szCs w:val="20"/>
              </w:rPr>
            </w:pPr>
            <w:r>
              <w:rPr>
                <w:rFonts w:hint="eastAsia" w:hAnsi="宋体"/>
                <w:color w:val="000000"/>
                <w:sz w:val="20"/>
                <w:szCs w:val="20"/>
              </w:rPr>
              <w:t>基本要求</w:t>
            </w:r>
          </w:p>
        </w:tc>
        <w:tc>
          <w:tcPr>
            <w:tcW w:w="7090" w:type="dxa"/>
            <w:gridSpan w:val="3"/>
            <w:tcBorders>
              <w:top w:val="single" w:color="auto" w:sz="4" w:space="0"/>
              <w:left w:val="nil"/>
              <w:bottom w:val="single" w:color="auto" w:sz="4" w:space="0"/>
              <w:right w:val="single" w:color="auto" w:sz="4" w:space="0"/>
            </w:tcBorders>
            <w:vAlign w:val="center"/>
          </w:tcPr>
          <w:p w14:paraId="0BC1D686">
            <w:pPr>
              <w:pStyle w:val="231"/>
              <w:ind w:firstLine="0" w:firstLineChars="0"/>
              <w:jc w:val="left"/>
              <w:rPr>
                <w:rFonts w:hAnsi="宋体"/>
                <w:color w:val="000000"/>
                <w:sz w:val="20"/>
                <w:szCs w:val="20"/>
                <w:highlight w:val="yellow"/>
              </w:rPr>
            </w:pPr>
            <w:r>
              <w:rPr>
                <w:rFonts w:hint="eastAsia" w:hAnsi="宋体"/>
                <w:color w:val="000000"/>
                <w:sz w:val="20"/>
                <w:szCs w:val="20"/>
              </w:rPr>
              <w:t>果实新鲜、洁净；</w:t>
            </w:r>
          </w:p>
          <w:p w14:paraId="44115818">
            <w:pPr>
              <w:pStyle w:val="231"/>
              <w:ind w:firstLine="0" w:firstLineChars="0"/>
              <w:jc w:val="left"/>
              <w:rPr>
                <w:rFonts w:hAnsi="宋体"/>
                <w:color w:val="000000"/>
                <w:sz w:val="20"/>
                <w:szCs w:val="20"/>
              </w:rPr>
            </w:pPr>
            <w:r>
              <w:rPr>
                <w:rFonts w:hint="eastAsia" w:hAnsi="宋体"/>
                <w:color w:val="000000"/>
                <w:sz w:val="20"/>
                <w:szCs w:val="20"/>
              </w:rPr>
              <w:t>无裂果、霉心、病斑、虫伤、日灼伤，无机械损伤、异味；</w:t>
            </w:r>
          </w:p>
          <w:p w14:paraId="6FF8151A">
            <w:pPr>
              <w:pStyle w:val="231"/>
              <w:ind w:firstLine="0" w:firstLineChars="0"/>
              <w:jc w:val="left"/>
              <w:rPr>
                <w:rFonts w:hAnsi="宋体"/>
                <w:color w:val="000000"/>
                <w:sz w:val="20"/>
                <w:szCs w:val="20"/>
              </w:rPr>
            </w:pPr>
            <w:r>
              <w:rPr>
                <w:rFonts w:hint="eastAsia" w:hAnsi="宋体"/>
                <w:color w:val="000000"/>
                <w:sz w:val="20"/>
                <w:szCs w:val="20"/>
              </w:rPr>
              <w:t>具有本品种固有特征和风味，以及适于市场销售或贮存要求的成熟度。</w:t>
            </w:r>
          </w:p>
        </w:tc>
      </w:tr>
      <w:tr w14:paraId="16EB6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tcBorders>
              <w:top w:val="single" w:color="auto" w:sz="4" w:space="0"/>
              <w:left w:val="single" w:color="auto" w:sz="4" w:space="0"/>
              <w:bottom w:val="single" w:color="auto" w:sz="4" w:space="0"/>
              <w:right w:val="single" w:color="auto" w:sz="4" w:space="0"/>
            </w:tcBorders>
            <w:vAlign w:val="center"/>
          </w:tcPr>
          <w:p w14:paraId="0A18FB4A">
            <w:pPr>
              <w:pStyle w:val="231"/>
              <w:ind w:firstLine="0" w:firstLineChars="0"/>
              <w:jc w:val="center"/>
              <w:rPr>
                <w:rFonts w:ascii="Times New Roman"/>
                <w:sz w:val="20"/>
                <w:szCs w:val="20"/>
              </w:rPr>
            </w:pPr>
            <w:r>
              <w:rPr>
                <w:rFonts w:hint="eastAsia" w:ascii="Times New Roman"/>
                <w:sz w:val="20"/>
                <w:szCs w:val="20"/>
              </w:rPr>
              <w:t>果形</w:t>
            </w:r>
          </w:p>
        </w:tc>
        <w:tc>
          <w:tcPr>
            <w:tcW w:w="2410" w:type="dxa"/>
            <w:tcBorders>
              <w:top w:val="single" w:color="auto" w:sz="4" w:space="0"/>
              <w:left w:val="nil"/>
              <w:bottom w:val="single" w:color="auto" w:sz="4" w:space="0"/>
              <w:right w:val="single" w:color="auto" w:sz="4" w:space="0"/>
            </w:tcBorders>
            <w:vAlign w:val="center"/>
          </w:tcPr>
          <w:p w14:paraId="71BF2C26">
            <w:pPr>
              <w:pStyle w:val="231"/>
              <w:ind w:firstLine="0" w:firstLineChars="0"/>
              <w:jc w:val="center"/>
              <w:rPr>
                <w:rFonts w:ascii="Times New Roman"/>
                <w:sz w:val="20"/>
                <w:szCs w:val="20"/>
              </w:rPr>
            </w:pPr>
            <w:r>
              <w:rPr>
                <w:rFonts w:hint="eastAsia" w:ascii="Times New Roman"/>
                <w:sz w:val="20"/>
                <w:szCs w:val="20"/>
              </w:rPr>
              <w:t>果形端正，偏斜度＜15%；果梗</w:t>
            </w:r>
            <w:r>
              <w:rPr>
                <w:rFonts w:ascii="Times New Roman"/>
                <w:sz w:val="20"/>
                <w:szCs w:val="20"/>
              </w:rPr>
              <w:t>完整。</w:t>
            </w:r>
          </w:p>
        </w:tc>
        <w:tc>
          <w:tcPr>
            <w:tcW w:w="2410" w:type="dxa"/>
            <w:tcBorders>
              <w:top w:val="single" w:color="auto" w:sz="4" w:space="0"/>
              <w:left w:val="nil"/>
              <w:bottom w:val="single" w:color="auto" w:sz="4" w:space="0"/>
              <w:right w:val="single" w:color="auto" w:sz="4" w:space="0"/>
            </w:tcBorders>
            <w:vAlign w:val="center"/>
          </w:tcPr>
          <w:p w14:paraId="146CADD0">
            <w:pPr>
              <w:pStyle w:val="231"/>
              <w:ind w:firstLine="0" w:firstLineChars="0"/>
              <w:jc w:val="center"/>
              <w:rPr>
                <w:rFonts w:ascii="Times New Roman"/>
                <w:sz w:val="20"/>
                <w:szCs w:val="20"/>
              </w:rPr>
            </w:pPr>
            <w:r>
              <w:rPr>
                <w:rFonts w:hint="eastAsia" w:ascii="Times New Roman"/>
                <w:sz w:val="20"/>
                <w:szCs w:val="20"/>
              </w:rPr>
              <w:t>果形端正，偏斜度＜15%；果梗</w:t>
            </w:r>
            <w:r>
              <w:rPr>
                <w:rFonts w:ascii="Times New Roman"/>
                <w:sz w:val="20"/>
                <w:szCs w:val="20"/>
              </w:rPr>
              <w:t>完整。</w:t>
            </w:r>
          </w:p>
        </w:tc>
        <w:tc>
          <w:tcPr>
            <w:tcW w:w="2270" w:type="dxa"/>
            <w:tcBorders>
              <w:top w:val="single" w:color="auto" w:sz="4" w:space="0"/>
              <w:left w:val="nil"/>
              <w:bottom w:val="single" w:color="auto" w:sz="4" w:space="0"/>
              <w:right w:val="single" w:color="auto" w:sz="4" w:space="0"/>
            </w:tcBorders>
            <w:vAlign w:val="center"/>
          </w:tcPr>
          <w:p w14:paraId="33D68631">
            <w:pPr>
              <w:pStyle w:val="231"/>
              <w:ind w:firstLine="0" w:firstLineChars="0"/>
              <w:jc w:val="center"/>
              <w:rPr>
                <w:rFonts w:ascii="Times New Roman"/>
                <w:sz w:val="20"/>
                <w:szCs w:val="20"/>
              </w:rPr>
            </w:pPr>
            <w:r>
              <w:rPr>
                <w:rFonts w:hint="eastAsia" w:ascii="Times New Roman"/>
                <w:sz w:val="20"/>
                <w:szCs w:val="20"/>
              </w:rPr>
              <w:t>果形较端正，偏斜度＜25%；</w:t>
            </w:r>
            <w:r>
              <w:rPr>
                <w:rFonts w:ascii="Times New Roman"/>
                <w:sz w:val="20"/>
                <w:szCs w:val="20"/>
              </w:rPr>
              <w:t>果梗允许轻微损伤。</w:t>
            </w:r>
          </w:p>
        </w:tc>
      </w:tr>
      <w:tr w14:paraId="07C56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696" w:type="dxa"/>
            <w:tcBorders>
              <w:top w:val="single" w:color="auto" w:sz="4" w:space="0"/>
              <w:left w:val="single" w:color="auto" w:sz="4" w:space="0"/>
              <w:bottom w:val="single" w:color="auto" w:sz="4" w:space="0"/>
              <w:right w:val="single" w:color="auto" w:sz="4" w:space="0"/>
            </w:tcBorders>
            <w:vAlign w:val="center"/>
          </w:tcPr>
          <w:p w14:paraId="4E29ED20">
            <w:pPr>
              <w:pStyle w:val="231"/>
              <w:ind w:firstLine="0" w:firstLineChars="0"/>
              <w:jc w:val="center"/>
              <w:rPr>
                <w:rFonts w:ascii="Times New Roman"/>
                <w:color w:val="000000"/>
                <w:sz w:val="20"/>
                <w:szCs w:val="20"/>
              </w:rPr>
            </w:pPr>
            <w:r>
              <w:rPr>
                <w:rFonts w:ascii="Times New Roman"/>
                <w:color w:val="000000"/>
                <w:sz w:val="20"/>
                <w:szCs w:val="20"/>
              </w:rPr>
              <w:t>果面缺陷</w:t>
            </w:r>
          </w:p>
        </w:tc>
        <w:tc>
          <w:tcPr>
            <w:tcW w:w="2410" w:type="dxa"/>
            <w:tcBorders>
              <w:top w:val="single" w:color="auto" w:sz="4" w:space="0"/>
              <w:left w:val="nil"/>
              <w:bottom w:val="single" w:color="auto" w:sz="4" w:space="0"/>
              <w:right w:val="single" w:color="auto" w:sz="4" w:space="0"/>
            </w:tcBorders>
            <w:vAlign w:val="center"/>
          </w:tcPr>
          <w:p w14:paraId="7BA4964A">
            <w:pPr>
              <w:pStyle w:val="231"/>
              <w:ind w:firstLine="0" w:firstLineChars="0"/>
              <w:jc w:val="center"/>
              <w:rPr>
                <w:rFonts w:ascii="Times New Roman"/>
                <w:color w:val="000000"/>
                <w:sz w:val="20"/>
                <w:szCs w:val="20"/>
              </w:rPr>
            </w:pPr>
            <w:r>
              <w:rPr>
                <w:rFonts w:ascii="Times New Roman"/>
                <w:color w:val="000000"/>
                <w:sz w:val="20"/>
                <w:szCs w:val="20"/>
              </w:rPr>
              <w:t>无果锈、雹伤。</w:t>
            </w:r>
          </w:p>
        </w:tc>
        <w:tc>
          <w:tcPr>
            <w:tcW w:w="2410" w:type="dxa"/>
            <w:tcBorders>
              <w:top w:val="single" w:color="auto" w:sz="4" w:space="0"/>
              <w:left w:val="nil"/>
              <w:bottom w:val="single" w:color="auto" w:sz="4" w:space="0"/>
              <w:right w:val="single" w:color="auto" w:sz="4" w:space="0"/>
            </w:tcBorders>
            <w:vAlign w:val="center"/>
          </w:tcPr>
          <w:p w14:paraId="73381F9D">
            <w:pPr>
              <w:pStyle w:val="231"/>
              <w:ind w:firstLine="0" w:firstLineChars="0"/>
              <w:jc w:val="center"/>
              <w:rPr>
                <w:rFonts w:ascii="Times New Roman"/>
                <w:color w:val="000000"/>
                <w:sz w:val="20"/>
                <w:szCs w:val="20"/>
              </w:rPr>
            </w:pPr>
            <w:r>
              <w:rPr>
                <w:rFonts w:ascii="Times New Roman"/>
                <w:color w:val="000000"/>
                <w:sz w:val="20"/>
                <w:szCs w:val="20"/>
              </w:rPr>
              <w:t>果锈面积≤0.5 cm</w:t>
            </w:r>
            <w:r>
              <w:rPr>
                <w:rFonts w:ascii="Times New Roman"/>
                <w:color w:val="000000"/>
                <w:sz w:val="20"/>
                <w:szCs w:val="20"/>
                <w:vertAlign w:val="superscript"/>
              </w:rPr>
              <w:t>2</w:t>
            </w:r>
            <w:r>
              <w:rPr>
                <w:rFonts w:ascii="Times New Roman"/>
                <w:color w:val="000000"/>
                <w:sz w:val="20"/>
                <w:szCs w:val="20"/>
              </w:rPr>
              <w:t>、无雹伤。</w:t>
            </w:r>
          </w:p>
        </w:tc>
        <w:tc>
          <w:tcPr>
            <w:tcW w:w="2270" w:type="dxa"/>
            <w:tcBorders>
              <w:top w:val="single" w:color="auto" w:sz="4" w:space="0"/>
              <w:left w:val="nil"/>
              <w:bottom w:val="single" w:color="auto" w:sz="4" w:space="0"/>
              <w:right w:val="single" w:color="auto" w:sz="4" w:space="0"/>
            </w:tcBorders>
            <w:vAlign w:val="center"/>
          </w:tcPr>
          <w:p w14:paraId="3A63F96D">
            <w:pPr>
              <w:pStyle w:val="231"/>
              <w:ind w:firstLine="0" w:firstLineChars="0"/>
              <w:jc w:val="center"/>
              <w:rPr>
                <w:rFonts w:ascii="Times New Roman"/>
                <w:color w:val="000000"/>
                <w:sz w:val="20"/>
                <w:szCs w:val="20"/>
              </w:rPr>
            </w:pPr>
            <w:r>
              <w:rPr>
                <w:rFonts w:ascii="Times New Roman"/>
                <w:color w:val="000000"/>
                <w:sz w:val="20"/>
                <w:szCs w:val="20"/>
              </w:rPr>
              <w:t>果锈面积≤2.0 cm</w:t>
            </w:r>
            <w:r>
              <w:rPr>
                <w:rFonts w:ascii="Times New Roman"/>
                <w:color w:val="000000"/>
                <w:sz w:val="20"/>
                <w:szCs w:val="20"/>
                <w:vertAlign w:val="superscript"/>
              </w:rPr>
              <w:t>2</w:t>
            </w:r>
            <w:r>
              <w:rPr>
                <w:rFonts w:ascii="Times New Roman"/>
                <w:color w:val="000000"/>
                <w:sz w:val="20"/>
                <w:szCs w:val="20"/>
              </w:rPr>
              <w:t>、雹伤面积≤0.5cm</w:t>
            </w:r>
            <w:r>
              <w:rPr>
                <w:rFonts w:ascii="Times New Roman"/>
                <w:color w:val="000000"/>
                <w:sz w:val="20"/>
                <w:szCs w:val="20"/>
                <w:vertAlign w:val="superscript"/>
              </w:rPr>
              <w:t>2</w:t>
            </w:r>
            <w:r>
              <w:rPr>
                <w:rFonts w:ascii="Times New Roman"/>
                <w:color w:val="000000"/>
                <w:sz w:val="20"/>
                <w:szCs w:val="20"/>
              </w:rPr>
              <w:t>。</w:t>
            </w:r>
          </w:p>
        </w:tc>
      </w:tr>
      <w:tr w14:paraId="1941F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696" w:type="dxa"/>
            <w:tcBorders>
              <w:top w:val="single" w:color="auto" w:sz="4" w:space="0"/>
              <w:left w:val="single" w:color="auto" w:sz="4" w:space="0"/>
              <w:bottom w:val="single" w:color="auto" w:sz="4" w:space="0"/>
              <w:right w:val="single" w:color="auto" w:sz="4" w:space="0"/>
            </w:tcBorders>
            <w:vAlign w:val="center"/>
          </w:tcPr>
          <w:p w14:paraId="3C8A8CD8">
            <w:pPr>
              <w:pStyle w:val="231"/>
              <w:ind w:firstLine="0" w:firstLineChars="0"/>
              <w:jc w:val="center"/>
              <w:rPr>
                <w:rFonts w:ascii="Times New Roman"/>
                <w:color w:val="000000"/>
                <w:sz w:val="20"/>
                <w:szCs w:val="20"/>
              </w:rPr>
            </w:pPr>
            <w:r>
              <w:rPr>
                <w:rFonts w:ascii="Times New Roman"/>
                <w:color w:val="000000"/>
                <w:sz w:val="20"/>
                <w:szCs w:val="20"/>
              </w:rPr>
              <w:t>着色</w:t>
            </w:r>
          </w:p>
        </w:tc>
        <w:tc>
          <w:tcPr>
            <w:tcW w:w="2410" w:type="dxa"/>
            <w:tcBorders>
              <w:top w:val="single" w:color="auto" w:sz="4" w:space="0"/>
              <w:left w:val="nil"/>
              <w:bottom w:val="single" w:color="auto" w:sz="4" w:space="0"/>
              <w:right w:val="single" w:color="auto" w:sz="4" w:space="0"/>
            </w:tcBorders>
            <w:vAlign w:val="center"/>
          </w:tcPr>
          <w:p w14:paraId="56840424">
            <w:pPr>
              <w:pStyle w:val="231"/>
              <w:ind w:firstLine="0" w:firstLineChars="0"/>
              <w:jc w:val="center"/>
              <w:rPr>
                <w:rFonts w:ascii="Times New Roman"/>
                <w:color w:val="000000" w:themeColor="text1"/>
                <w:sz w:val="20"/>
                <w:szCs w:val="20"/>
                <w14:textFill>
                  <w14:solidFill>
                    <w14:schemeClr w14:val="tx1"/>
                  </w14:solidFill>
                </w14:textFill>
              </w:rPr>
            </w:pPr>
            <w:r>
              <w:rPr>
                <w:rFonts w:ascii="Times New Roman"/>
                <w:color w:val="000000" w:themeColor="text1"/>
                <w:sz w:val="20"/>
                <w:szCs w:val="20"/>
                <w14:textFill>
                  <w14:solidFill>
                    <w14:schemeClr w14:val="tx1"/>
                  </w14:solidFill>
                </w14:textFill>
              </w:rPr>
              <w:t>≥90%</w:t>
            </w:r>
          </w:p>
        </w:tc>
        <w:tc>
          <w:tcPr>
            <w:tcW w:w="2410" w:type="dxa"/>
            <w:tcBorders>
              <w:top w:val="single" w:color="auto" w:sz="4" w:space="0"/>
              <w:left w:val="nil"/>
              <w:bottom w:val="single" w:color="auto" w:sz="4" w:space="0"/>
              <w:right w:val="single" w:color="auto" w:sz="4" w:space="0"/>
            </w:tcBorders>
            <w:vAlign w:val="center"/>
          </w:tcPr>
          <w:p w14:paraId="4347CB9C">
            <w:pPr>
              <w:pStyle w:val="231"/>
              <w:ind w:firstLine="0" w:firstLineChars="0"/>
              <w:jc w:val="center"/>
              <w:rPr>
                <w:rFonts w:ascii="Times New Roman"/>
                <w:color w:val="000000" w:themeColor="text1"/>
                <w:sz w:val="20"/>
                <w:szCs w:val="20"/>
                <w14:textFill>
                  <w14:solidFill>
                    <w14:schemeClr w14:val="tx1"/>
                  </w14:solidFill>
                </w14:textFill>
              </w:rPr>
            </w:pPr>
            <w:r>
              <w:rPr>
                <w:rFonts w:ascii="Times New Roman"/>
                <w:color w:val="000000" w:themeColor="text1"/>
                <w:sz w:val="20"/>
                <w:szCs w:val="20"/>
                <w14:textFill>
                  <w14:solidFill>
                    <w14:schemeClr w14:val="tx1"/>
                  </w14:solidFill>
                </w14:textFill>
              </w:rPr>
              <w:t>≥80%</w:t>
            </w:r>
          </w:p>
        </w:tc>
        <w:tc>
          <w:tcPr>
            <w:tcW w:w="2270" w:type="dxa"/>
            <w:tcBorders>
              <w:top w:val="single" w:color="auto" w:sz="4" w:space="0"/>
              <w:left w:val="nil"/>
              <w:bottom w:val="single" w:color="auto" w:sz="4" w:space="0"/>
              <w:right w:val="single" w:color="auto" w:sz="4" w:space="0"/>
            </w:tcBorders>
            <w:vAlign w:val="center"/>
          </w:tcPr>
          <w:p w14:paraId="7D8EB058">
            <w:pPr>
              <w:pStyle w:val="231"/>
              <w:ind w:firstLine="0" w:firstLineChars="0"/>
              <w:jc w:val="center"/>
              <w:rPr>
                <w:rFonts w:ascii="Times New Roman"/>
                <w:color w:val="000000" w:themeColor="text1"/>
                <w:sz w:val="20"/>
                <w:szCs w:val="20"/>
                <w14:textFill>
                  <w14:solidFill>
                    <w14:schemeClr w14:val="tx1"/>
                  </w14:solidFill>
                </w14:textFill>
              </w:rPr>
            </w:pPr>
            <w:r>
              <w:rPr>
                <w:rFonts w:ascii="Times New Roman"/>
                <w:color w:val="000000" w:themeColor="text1"/>
                <w:sz w:val="20"/>
                <w:szCs w:val="20"/>
                <w14:textFill>
                  <w14:solidFill>
                    <w14:schemeClr w14:val="tx1"/>
                  </w14:solidFill>
                </w14:textFill>
              </w:rPr>
              <w:t>≥55%</w:t>
            </w:r>
          </w:p>
        </w:tc>
      </w:tr>
      <w:tr w14:paraId="531E0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96" w:type="dxa"/>
            <w:tcBorders>
              <w:top w:val="nil"/>
              <w:left w:val="single" w:color="auto" w:sz="4" w:space="0"/>
              <w:bottom w:val="single" w:color="auto" w:sz="4" w:space="0"/>
              <w:right w:val="single" w:color="auto" w:sz="4" w:space="0"/>
            </w:tcBorders>
            <w:vAlign w:val="center"/>
          </w:tcPr>
          <w:p w14:paraId="0DDC7751">
            <w:pPr>
              <w:pStyle w:val="231"/>
              <w:ind w:firstLine="0" w:firstLineChars="0"/>
              <w:jc w:val="center"/>
              <w:rPr>
                <w:rFonts w:ascii="Times New Roman"/>
                <w:color w:val="000000"/>
                <w:sz w:val="20"/>
                <w:szCs w:val="20"/>
              </w:rPr>
            </w:pPr>
            <w:r>
              <w:rPr>
                <w:rFonts w:ascii="Times New Roman"/>
                <w:color w:val="000000"/>
                <w:sz w:val="20"/>
                <w:szCs w:val="20"/>
              </w:rPr>
              <w:t>可溶性固形物含量</w:t>
            </w:r>
          </w:p>
        </w:tc>
        <w:tc>
          <w:tcPr>
            <w:tcW w:w="2410" w:type="dxa"/>
            <w:tcBorders>
              <w:top w:val="single" w:color="auto" w:sz="4" w:space="0"/>
              <w:left w:val="nil"/>
              <w:bottom w:val="single" w:color="auto" w:sz="4" w:space="0"/>
              <w:right w:val="single" w:color="auto" w:sz="4" w:space="0"/>
            </w:tcBorders>
            <w:vAlign w:val="center"/>
          </w:tcPr>
          <w:p w14:paraId="0EE2BDC2">
            <w:pPr>
              <w:pStyle w:val="231"/>
              <w:ind w:firstLine="0" w:firstLineChars="0"/>
              <w:jc w:val="center"/>
              <w:rPr>
                <w:rFonts w:ascii="Times New Roman"/>
                <w:color w:val="000000"/>
                <w:sz w:val="20"/>
                <w:szCs w:val="20"/>
              </w:rPr>
            </w:pPr>
            <w:r>
              <w:rPr>
                <w:rFonts w:ascii="Times New Roman"/>
                <w:color w:val="000000" w:themeColor="text1"/>
                <w:sz w:val="20"/>
                <w:szCs w:val="20"/>
                <w14:textFill>
                  <w14:solidFill>
                    <w14:schemeClr w14:val="tx1"/>
                  </w14:solidFill>
                </w14:textFill>
              </w:rPr>
              <w:t>≥</w:t>
            </w:r>
            <w:r>
              <w:rPr>
                <w:rFonts w:ascii="Times New Roman"/>
                <w:color w:val="000000"/>
                <w:sz w:val="20"/>
                <w:szCs w:val="20"/>
              </w:rPr>
              <w:t>1</w:t>
            </w:r>
            <w:r>
              <w:rPr>
                <w:rFonts w:hint="eastAsia" w:ascii="Times New Roman"/>
                <w:color w:val="000000"/>
                <w:sz w:val="20"/>
                <w:szCs w:val="20"/>
              </w:rPr>
              <w:t>4</w:t>
            </w:r>
            <w:r>
              <w:rPr>
                <w:rFonts w:ascii="Times New Roman"/>
                <w:color w:val="000000"/>
                <w:sz w:val="20"/>
                <w:szCs w:val="20"/>
              </w:rPr>
              <w:t>%</w:t>
            </w:r>
          </w:p>
        </w:tc>
        <w:tc>
          <w:tcPr>
            <w:tcW w:w="2410" w:type="dxa"/>
            <w:tcBorders>
              <w:top w:val="single" w:color="auto" w:sz="4" w:space="0"/>
              <w:left w:val="nil"/>
              <w:bottom w:val="single" w:color="auto" w:sz="4" w:space="0"/>
              <w:right w:val="single" w:color="auto" w:sz="4" w:space="0"/>
            </w:tcBorders>
            <w:vAlign w:val="center"/>
          </w:tcPr>
          <w:p w14:paraId="309B6EEC">
            <w:pPr>
              <w:pStyle w:val="231"/>
              <w:ind w:firstLine="0" w:firstLineChars="0"/>
              <w:jc w:val="center"/>
              <w:rPr>
                <w:rFonts w:ascii="Times New Roman"/>
                <w:color w:val="000000"/>
                <w:sz w:val="20"/>
                <w:szCs w:val="20"/>
              </w:rPr>
            </w:pPr>
            <w:r>
              <w:rPr>
                <w:rFonts w:ascii="Times New Roman"/>
                <w:color w:val="000000" w:themeColor="text1"/>
                <w:sz w:val="20"/>
                <w:szCs w:val="20"/>
                <w14:textFill>
                  <w14:solidFill>
                    <w14:schemeClr w14:val="tx1"/>
                  </w14:solidFill>
                </w14:textFill>
              </w:rPr>
              <w:t>≥</w:t>
            </w:r>
            <w:r>
              <w:rPr>
                <w:rFonts w:ascii="Times New Roman"/>
                <w:color w:val="000000"/>
                <w:sz w:val="20"/>
                <w:szCs w:val="20"/>
              </w:rPr>
              <w:t>1</w:t>
            </w:r>
            <w:r>
              <w:rPr>
                <w:rFonts w:hint="eastAsia" w:ascii="Times New Roman"/>
                <w:color w:val="000000"/>
                <w:sz w:val="20"/>
                <w:szCs w:val="20"/>
              </w:rPr>
              <w:t>3</w:t>
            </w:r>
            <w:r>
              <w:rPr>
                <w:rFonts w:ascii="Times New Roman"/>
                <w:color w:val="000000"/>
                <w:sz w:val="20"/>
                <w:szCs w:val="20"/>
              </w:rPr>
              <w:t>%</w:t>
            </w:r>
          </w:p>
        </w:tc>
        <w:tc>
          <w:tcPr>
            <w:tcW w:w="2270" w:type="dxa"/>
            <w:tcBorders>
              <w:top w:val="single" w:color="auto" w:sz="4" w:space="0"/>
              <w:left w:val="nil"/>
              <w:bottom w:val="single" w:color="auto" w:sz="4" w:space="0"/>
              <w:right w:val="single" w:color="auto" w:sz="4" w:space="0"/>
            </w:tcBorders>
            <w:vAlign w:val="center"/>
          </w:tcPr>
          <w:p w14:paraId="7885A1E8">
            <w:pPr>
              <w:pStyle w:val="231"/>
              <w:ind w:firstLine="0" w:firstLineChars="0"/>
              <w:jc w:val="center"/>
              <w:rPr>
                <w:rFonts w:ascii="Times New Roman"/>
                <w:color w:val="000000"/>
                <w:sz w:val="20"/>
                <w:szCs w:val="20"/>
              </w:rPr>
            </w:pPr>
            <w:r>
              <w:rPr>
                <w:rFonts w:ascii="Times New Roman"/>
                <w:color w:val="000000" w:themeColor="text1"/>
                <w:sz w:val="20"/>
                <w:szCs w:val="20"/>
                <w14:textFill>
                  <w14:solidFill>
                    <w14:schemeClr w14:val="tx1"/>
                  </w14:solidFill>
                </w14:textFill>
              </w:rPr>
              <w:t>≥</w:t>
            </w:r>
            <w:r>
              <w:rPr>
                <w:rFonts w:ascii="Times New Roman"/>
                <w:color w:val="000000"/>
                <w:sz w:val="20"/>
                <w:szCs w:val="20"/>
              </w:rPr>
              <w:t>12%</w:t>
            </w:r>
          </w:p>
        </w:tc>
      </w:tr>
      <w:tr w14:paraId="4AD6A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96" w:type="dxa"/>
            <w:tcBorders>
              <w:top w:val="single" w:color="auto" w:sz="4" w:space="0"/>
              <w:left w:val="single" w:color="auto" w:sz="4" w:space="0"/>
              <w:bottom w:val="single" w:color="auto" w:sz="4" w:space="0"/>
              <w:right w:val="single" w:color="auto" w:sz="4" w:space="0"/>
            </w:tcBorders>
            <w:vAlign w:val="center"/>
          </w:tcPr>
          <w:p w14:paraId="78094B9E">
            <w:pPr>
              <w:pStyle w:val="231"/>
              <w:ind w:firstLine="0" w:firstLineChars="0"/>
              <w:jc w:val="center"/>
              <w:rPr>
                <w:rFonts w:ascii="Times New Roman"/>
                <w:color w:val="000000"/>
                <w:sz w:val="20"/>
                <w:szCs w:val="20"/>
              </w:rPr>
            </w:pPr>
            <w:r>
              <w:rPr>
                <w:rFonts w:ascii="Times New Roman"/>
                <w:color w:val="000000"/>
                <w:sz w:val="20"/>
                <w:szCs w:val="20"/>
              </w:rPr>
              <w:t>总酸含量</w:t>
            </w:r>
          </w:p>
        </w:tc>
        <w:tc>
          <w:tcPr>
            <w:tcW w:w="2410" w:type="dxa"/>
            <w:tcBorders>
              <w:top w:val="single" w:color="auto" w:sz="4" w:space="0"/>
              <w:left w:val="nil"/>
              <w:bottom w:val="single" w:color="auto" w:sz="4" w:space="0"/>
              <w:right w:val="single" w:color="auto" w:sz="4" w:space="0"/>
            </w:tcBorders>
            <w:vAlign w:val="center"/>
          </w:tcPr>
          <w:p w14:paraId="0AAEE313">
            <w:pPr>
              <w:pStyle w:val="231"/>
              <w:ind w:firstLine="0" w:firstLineChars="0"/>
              <w:jc w:val="center"/>
              <w:rPr>
                <w:rFonts w:ascii="Times New Roman"/>
                <w:color w:val="000000"/>
                <w:sz w:val="20"/>
                <w:szCs w:val="20"/>
              </w:rPr>
            </w:pPr>
            <w:bookmarkStart w:id="47" w:name="OLE_LINK5"/>
            <w:r>
              <w:rPr>
                <w:rFonts w:ascii="Times New Roman"/>
                <w:color w:val="000000"/>
                <w:sz w:val="20"/>
                <w:szCs w:val="20"/>
              </w:rPr>
              <w:t>≤0.3%</w:t>
            </w:r>
            <w:bookmarkEnd w:id="47"/>
          </w:p>
        </w:tc>
        <w:tc>
          <w:tcPr>
            <w:tcW w:w="2410" w:type="dxa"/>
            <w:tcBorders>
              <w:top w:val="single" w:color="auto" w:sz="4" w:space="0"/>
              <w:left w:val="nil"/>
              <w:bottom w:val="single" w:color="auto" w:sz="4" w:space="0"/>
              <w:right w:val="single" w:color="auto" w:sz="4" w:space="0"/>
            </w:tcBorders>
            <w:vAlign w:val="center"/>
          </w:tcPr>
          <w:p w14:paraId="2AD243A5">
            <w:pPr>
              <w:pStyle w:val="231"/>
              <w:ind w:firstLine="0" w:firstLineChars="0"/>
              <w:jc w:val="center"/>
              <w:rPr>
                <w:rFonts w:ascii="Times New Roman"/>
                <w:color w:val="000000"/>
                <w:sz w:val="20"/>
                <w:szCs w:val="20"/>
              </w:rPr>
            </w:pPr>
            <w:r>
              <w:rPr>
                <w:rFonts w:ascii="Times New Roman"/>
                <w:color w:val="000000"/>
                <w:sz w:val="20"/>
                <w:szCs w:val="20"/>
              </w:rPr>
              <w:t>≤0.</w:t>
            </w:r>
            <w:r>
              <w:rPr>
                <w:rFonts w:hint="eastAsia" w:ascii="Times New Roman"/>
                <w:color w:val="000000"/>
                <w:sz w:val="20"/>
                <w:szCs w:val="20"/>
              </w:rPr>
              <w:t>3</w:t>
            </w:r>
            <w:r>
              <w:rPr>
                <w:rFonts w:ascii="Times New Roman"/>
                <w:color w:val="000000"/>
                <w:sz w:val="20"/>
                <w:szCs w:val="20"/>
              </w:rPr>
              <w:t>%</w:t>
            </w:r>
          </w:p>
        </w:tc>
        <w:tc>
          <w:tcPr>
            <w:tcW w:w="2270" w:type="dxa"/>
            <w:tcBorders>
              <w:top w:val="single" w:color="auto" w:sz="4" w:space="0"/>
              <w:left w:val="nil"/>
              <w:bottom w:val="single" w:color="auto" w:sz="4" w:space="0"/>
              <w:right w:val="single" w:color="auto" w:sz="4" w:space="0"/>
            </w:tcBorders>
            <w:vAlign w:val="center"/>
          </w:tcPr>
          <w:p w14:paraId="618C9648">
            <w:pPr>
              <w:pStyle w:val="231"/>
              <w:ind w:firstLine="0" w:firstLineChars="0"/>
              <w:jc w:val="center"/>
              <w:rPr>
                <w:rFonts w:ascii="Times New Roman"/>
                <w:color w:val="000000"/>
                <w:sz w:val="20"/>
                <w:szCs w:val="20"/>
              </w:rPr>
            </w:pPr>
            <w:r>
              <w:rPr>
                <w:rFonts w:ascii="Times New Roman"/>
                <w:color w:val="000000"/>
                <w:sz w:val="20"/>
                <w:szCs w:val="20"/>
              </w:rPr>
              <w:t>≤0.</w:t>
            </w:r>
            <w:r>
              <w:rPr>
                <w:rFonts w:hint="eastAsia" w:ascii="Times New Roman"/>
                <w:color w:val="000000"/>
                <w:sz w:val="20"/>
                <w:szCs w:val="20"/>
              </w:rPr>
              <w:t>3</w:t>
            </w:r>
            <w:r>
              <w:rPr>
                <w:rFonts w:ascii="Times New Roman"/>
                <w:color w:val="000000"/>
                <w:sz w:val="20"/>
                <w:szCs w:val="20"/>
              </w:rPr>
              <w:t>%</w:t>
            </w:r>
          </w:p>
        </w:tc>
      </w:tr>
      <w:tr w14:paraId="54726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696" w:type="dxa"/>
            <w:tcBorders>
              <w:top w:val="single" w:color="auto" w:sz="4" w:space="0"/>
              <w:left w:val="single" w:color="auto" w:sz="4" w:space="0"/>
              <w:bottom w:val="single" w:color="auto" w:sz="4" w:space="0"/>
              <w:right w:val="single" w:color="auto" w:sz="4" w:space="0"/>
            </w:tcBorders>
            <w:vAlign w:val="center"/>
          </w:tcPr>
          <w:p w14:paraId="055D83D2">
            <w:pPr>
              <w:pStyle w:val="231"/>
              <w:ind w:firstLine="0" w:firstLineChars="0"/>
              <w:jc w:val="center"/>
              <w:rPr>
                <w:rFonts w:ascii="Times New Roman"/>
                <w:color w:val="000000"/>
                <w:sz w:val="20"/>
                <w:szCs w:val="20"/>
              </w:rPr>
            </w:pPr>
            <w:r>
              <w:rPr>
                <w:rFonts w:ascii="Times New Roman"/>
                <w:color w:val="000000"/>
                <w:sz w:val="20"/>
                <w:szCs w:val="20"/>
              </w:rPr>
              <w:t>横径，mm</w:t>
            </w:r>
          </w:p>
        </w:tc>
        <w:tc>
          <w:tcPr>
            <w:tcW w:w="2410" w:type="dxa"/>
            <w:tcBorders>
              <w:top w:val="single" w:color="auto" w:sz="4" w:space="0"/>
              <w:left w:val="nil"/>
              <w:bottom w:val="single" w:color="auto" w:sz="4" w:space="0"/>
              <w:right w:val="single" w:color="auto" w:sz="4" w:space="0"/>
            </w:tcBorders>
            <w:vAlign w:val="center"/>
          </w:tcPr>
          <w:p w14:paraId="7529E2D6">
            <w:pPr>
              <w:pStyle w:val="231"/>
              <w:ind w:firstLine="0" w:firstLineChars="0"/>
              <w:jc w:val="center"/>
              <w:rPr>
                <w:rFonts w:ascii="Times New Roman"/>
                <w:color w:val="000000"/>
                <w:sz w:val="20"/>
                <w:szCs w:val="20"/>
              </w:rPr>
            </w:pPr>
            <w:r>
              <w:rPr>
                <w:rFonts w:ascii="Times New Roman"/>
                <w:color w:val="000000" w:themeColor="text1"/>
                <w:sz w:val="20"/>
                <w:szCs w:val="20"/>
                <w14:textFill>
                  <w14:solidFill>
                    <w14:schemeClr w14:val="tx1"/>
                  </w14:solidFill>
                </w14:textFill>
              </w:rPr>
              <w:t>≥</w:t>
            </w:r>
            <w:r>
              <w:rPr>
                <w:rFonts w:ascii="Times New Roman"/>
                <w:color w:val="000000"/>
                <w:sz w:val="20"/>
                <w:szCs w:val="20"/>
              </w:rPr>
              <w:t>75</w:t>
            </w:r>
            <w:r>
              <w:rPr>
                <w:rFonts w:hint="eastAsia" w:ascii="Times New Roman"/>
                <w:color w:val="000000"/>
                <w:sz w:val="20"/>
                <w:szCs w:val="20"/>
              </w:rPr>
              <w:t>，</w:t>
            </w:r>
            <w:r>
              <w:rPr>
                <w:rFonts w:ascii="Times New Roman"/>
                <w:color w:val="000000"/>
                <w:sz w:val="20"/>
                <w:szCs w:val="20"/>
              </w:rPr>
              <w:t>≤90</w:t>
            </w:r>
          </w:p>
        </w:tc>
        <w:tc>
          <w:tcPr>
            <w:tcW w:w="2410" w:type="dxa"/>
            <w:tcBorders>
              <w:top w:val="single" w:color="auto" w:sz="4" w:space="0"/>
              <w:left w:val="nil"/>
              <w:bottom w:val="single" w:color="auto" w:sz="4" w:space="0"/>
              <w:right w:val="single" w:color="auto" w:sz="4" w:space="0"/>
            </w:tcBorders>
            <w:vAlign w:val="center"/>
          </w:tcPr>
          <w:p w14:paraId="0D90EFBA">
            <w:pPr>
              <w:pStyle w:val="231"/>
              <w:ind w:firstLine="0" w:firstLineChars="0"/>
              <w:jc w:val="center"/>
              <w:rPr>
                <w:rFonts w:ascii="Times New Roman"/>
                <w:color w:val="000000"/>
                <w:sz w:val="20"/>
                <w:szCs w:val="20"/>
              </w:rPr>
            </w:pPr>
            <w:r>
              <w:rPr>
                <w:rFonts w:ascii="Times New Roman"/>
                <w:color w:val="000000" w:themeColor="text1"/>
                <w:sz w:val="20"/>
                <w:szCs w:val="20"/>
                <w14:textFill>
                  <w14:solidFill>
                    <w14:schemeClr w14:val="tx1"/>
                  </w14:solidFill>
                </w14:textFill>
              </w:rPr>
              <w:t>≥</w:t>
            </w:r>
            <w:r>
              <w:rPr>
                <w:rFonts w:ascii="Times New Roman"/>
                <w:color w:val="000000"/>
                <w:sz w:val="20"/>
                <w:szCs w:val="20"/>
              </w:rPr>
              <w:t>7</w:t>
            </w:r>
            <w:r>
              <w:rPr>
                <w:rFonts w:hint="eastAsia" w:ascii="Times New Roman"/>
                <w:color w:val="000000"/>
                <w:sz w:val="20"/>
                <w:szCs w:val="20"/>
              </w:rPr>
              <w:t>0，</w:t>
            </w:r>
            <w:r>
              <w:rPr>
                <w:rFonts w:ascii="Times New Roman"/>
                <w:color w:val="000000"/>
                <w:sz w:val="20"/>
                <w:szCs w:val="20"/>
              </w:rPr>
              <w:t>≤90</w:t>
            </w:r>
          </w:p>
        </w:tc>
        <w:tc>
          <w:tcPr>
            <w:tcW w:w="2270" w:type="dxa"/>
            <w:tcBorders>
              <w:top w:val="single" w:color="auto" w:sz="4" w:space="0"/>
              <w:left w:val="nil"/>
              <w:bottom w:val="single" w:color="auto" w:sz="4" w:space="0"/>
              <w:right w:val="single" w:color="auto" w:sz="4" w:space="0"/>
            </w:tcBorders>
            <w:vAlign w:val="center"/>
          </w:tcPr>
          <w:p w14:paraId="781EBDFB">
            <w:pPr>
              <w:pStyle w:val="231"/>
              <w:ind w:firstLine="0" w:firstLineChars="0"/>
              <w:jc w:val="center"/>
              <w:rPr>
                <w:rFonts w:ascii="Times New Roman"/>
                <w:color w:val="000000"/>
                <w:sz w:val="20"/>
                <w:szCs w:val="20"/>
              </w:rPr>
            </w:pPr>
            <w:r>
              <w:rPr>
                <w:rFonts w:ascii="Times New Roman"/>
                <w:color w:val="000000" w:themeColor="text1"/>
                <w:sz w:val="20"/>
                <w:szCs w:val="20"/>
                <w14:textFill>
                  <w14:solidFill>
                    <w14:schemeClr w14:val="tx1"/>
                  </w14:solidFill>
                </w14:textFill>
              </w:rPr>
              <w:t>≥</w:t>
            </w:r>
            <w:r>
              <w:rPr>
                <w:rFonts w:ascii="Times New Roman"/>
                <w:color w:val="000000"/>
                <w:sz w:val="20"/>
                <w:szCs w:val="20"/>
              </w:rPr>
              <w:t>70</w:t>
            </w:r>
            <w:r>
              <w:rPr>
                <w:rFonts w:hint="eastAsia" w:ascii="Times New Roman"/>
                <w:color w:val="000000"/>
                <w:sz w:val="20"/>
                <w:szCs w:val="20"/>
              </w:rPr>
              <w:t>，</w:t>
            </w:r>
            <w:r>
              <w:rPr>
                <w:rFonts w:ascii="Times New Roman"/>
                <w:color w:val="000000"/>
                <w:sz w:val="20"/>
                <w:szCs w:val="20"/>
              </w:rPr>
              <w:t>≤9</w:t>
            </w:r>
            <w:r>
              <w:rPr>
                <w:rFonts w:hint="eastAsia" w:ascii="Times New Roman"/>
                <w:color w:val="000000"/>
                <w:sz w:val="20"/>
                <w:szCs w:val="20"/>
              </w:rPr>
              <w:t>5</w:t>
            </w:r>
          </w:p>
        </w:tc>
      </w:tr>
    </w:tbl>
    <w:p w14:paraId="27ECB40A">
      <w:pPr>
        <w:pStyle w:val="25"/>
        <w:spacing w:before="0" w:beforeAutospacing="0" w:after="0" w:afterAutospacing="0"/>
        <w:jc w:val="both"/>
        <w:rPr>
          <w:rFonts w:ascii="Times New Roman" w:hAnsi="Times New Roman" w:eastAsia="黑体" w:cs="Times New Roman"/>
          <w:color w:val="000000"/>
          <w:sz w:val="20"/>
          <w:szCs w:val="20"/>
        </w:rPr>
      </w:pPr>
    </w:p>
    <w:p w14:paraId="4A7CEB1C">
      <w:pPr>
        <w:pStyle w:val="25"/>
        <w:spacing w:before="0" w:beforeAutospacing="0" w:after="0" w:afterAutospacing="0"/>
        <w:jc w:val="both"/>
        <w:rPr>
          <w:rFonts w:ascii="Times New Roman" w:hAnsi="Times New Roman" w:eastAsia="黑体" w:cs="Times New Roman"/>
          <w:color w:val="000000"/>
          <w:sz w:val="20"/>
          <w:szCs w:val="20"/>
        </w:rPr>
      </w:pPr>
      <w:r>
        <w:rPr>
          <w:rFonts w:ascii="Times New Roman" w:hAnsi="Times New Roman" w:eastAsia="黑体" w:cs="Times New Roman"/>
          <w:color w:val="000000"/>
          <w:sz w:val="20"/>
          <w:szCs w:val="20"/>
        </w:rPr>
        <w:t>4.</w:t>
      </w:r>
      <w:r>
        <w:rPr>
          <w:rFonts w:hint="eastAsia" w:ascii="Times New Roman" w:hAnsi="Times New Roman" w:eastAsia="黑体" w:cs="Times New Roman"/>
          <w:color w:val="000000"/>
          <w:sz w:val="20"/>
          <w:szCs w:val="20"/>
        </w:rPr>
        <w:t>2</w:t>
      </w:r>
      <w:r>
        <w:rPr>
          <w:rFonts w:ascii="Times New Roman" w:hAnsi="Times New Roman" w:eastAsia="黑体" w:cs="Times New Roman"/>
          <w:color w:val="000000"/>
          <w:sz w:val="20"/>
          <w:szCs w:val="20"/>
        </w:rPr>
        <w:t xml:space="preserve"> 规格要求</w:t>
      </w:r>
    </w:p>
    <w:p w14:paraId="318F572B">
      <w:pPr>
        <w:widowControl/>
        <w:ind w:firstLine="420" w:firstLineChars="200"/>
        <w:rPr>
          <w:rFonts w:ascii="Times New Roman" w:hAnsi="Times New Roman"/>
          <w:color w:val="000000"/>
          <w:kern w:val="0"/>
        </w:rPr>
      </w:pPr>
      <w:r>
        <w:rPr>
          <w:rFonts w:ascii="宋体" w:hAnsi="宋体"/>
          <w:color w:val="000000"/>
          <w:kern w:val="0"/>
        </w:rPr>
        <w:t>富士苹果</w:t>
      </w:r>
      <w:r>
        <w:rPr>
          <w:rFonts w:hint="eastAsia" w:ascii="宋体" w:hAnsi="宋体"/>
          <w:color w:val="000000"/>
          <w:kern w:val="0"/>
        </w:rPr>
        <w:t>按照果实横径分为特大果、大果、中果、小果三种规格，各规格要求</w:t>
      </w:r>
      <w:r>
        <w:rPr>
          <w:rFonts w:ascii="宋体" w:hAnsi="宋体"/>
          <w:color w:val="000000"/>
          <w:kern w:val="0"/>
        </w:rPr>
        <w:t>应符合表</w:t>
      </w:r>
      <w:r>
        <w:rPr>
          <w:rFonts w:hint="eastAsia" w:ascii="宋体" w:hAnsi="宋体"/>
          <w:color w:val="000000"/>
          <w:kern w:val="0"/>
        </w:rPr>
        <w:t>2规定</w:t>
      </w:r>
      <w:r>
        <w:rPr>
          <w:rFonts w:ascii="宋体" w:hAnsi="宋体"/>
          <w:color w:val="000000"/>
          <w:kern w:val="0"/>
        </w:rPr>
        <w:t>。</w:t>
      </w:r>
    </w:p>
    <w:p w14:paraId="05837F0F">
      <w:pPr>
        <w:pStyle w:val="113"/>
        <w:spacing w:before="120" w:after="120"/>
        <w:rPr>
          <w:rFonts w:ascii="Times New Roman"/>
          <w:color w:val="000000"/>
          <w:sz w:val="20"/>
        </w:rPr>
      </w:pPr>
      <w:r>
        <w:rPr>
          <w:rFonts w:hAnsi="黑体"/>
          <w:color w:val="000000"/>
          <w:sz w:val="20"/>
        </w:rPr>
        <w:t>规格要求</w:t>
      </w:r>
    </w:p>
    <w:tbl>
      <w:tblPr>
        <w:tblStyle w:val="28"/>
        <w:tblW w:w="8695" w:type="dxa"/>
        <w:tblInd w:w="98"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603"/>
        <w:gridCol w:w="1900"/>
        <w:gridCol w:w="1917"/>
        <w:gridCol w:w="1591"/>
        <w:gridCol w:w="1684"/>
      </w:tblGrid>
      <w:tr w14:paraId="45AB70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18" w:hRule="atLeast"/>
        </w:trPr>
        <w:tc>
          <w:tcPr>
            <w:tcW w:w="1603" w:type="dxa"/>
            <w:tcBorders>
              <w:top w:val="single" w:color="auto" w:sz="8" w:space="0"/>
              <w:left w:val="single" w:color="auto" w:sz="8" w:space="0"/>
              <w:bottom w:val="single" w:color="auto" w:sz="8" w:space="0"/>
              <w:right w:val="single" w:color="auto" w:sz="4" w:space="0"/>
            </w:tcBorders>
            <w:vAlign w:val="center"/>
          </w:tcPr>
          <w:p w14:paraId="10D58EFC">
            <w:pPr>
              <w:pStyle w:val="179"/>
              <w:widowControl w:val="0"/>
              <w:rPr>
                <w:rFonts w:ascii="Times New Roman"/>
                <w:color w:val="000000"/>
                <w:sz w:val="20"/>
              </w:rPr>
            </w:pPr>
            <w:r>
              <w:rPr>
                <w:rFonts w:ascii="Times New Roman"/>
                <w:color w:val="000000"/>
                <w:sz w:val="20"/>
              </w:rPr>
              <w:t>规格</w:t>
            </w:r>
          </w:p>
        </w:tc>
        <w:tc>
          <w:tcPr>
            <w:tcW w:w="1900" w:type="dxa"/>
            <w:tcBorders>
              <w:top w:val="single" w:color="auto" w:sz="8" w:space="0"/>
              <w:left w:val="single" w:color="auto" w:sz="4" w:space="0"/>
              <w:bottom w:val="single" w:color="auto" w:sz="8" w:space="0"/>
              <w:right w:val="single" w:color="auto" w:sz="4" w:space="0"/>
            </w:tcBorders>
            <w:vAlign w:val="center"/>
          </w:tcPr>
          <w:p w14:paraId="774842D1">
            <w:pPr>
              <w:pStyle w:val="179"/>
              <w:widowControl w:val="0"/>
              <w:rPr>
                <w:rFonts w:ascii="Times New Roman"/>
                <w:color w:val="000000"/>
                <w:sz w:val="20"/>
              </w:rPr>
            </w:pPr>
            <w:r>
              <w:rPr>
                <w:rFonts w:ascii="Times New Roman"/>
                <w:color w:val="000000"/>
                <w:sz w:val="20"/>
              </w:rPr>
              <w:t>小果（S）</w:t>
            </w:r>
          </w:p>
        </w:tc>
        <w:tc>
          <w:tcPr>
            <w:tcW w:w="1917" w:type="dxa"/>
            <w:tcBorders>
              <w:top w:val="single" w:color="auto" w:sz="8" w:space="0"/>
              <w:left w:val="single" w:color="auto" w:sz="4" w:space="0"/>
              <w:bottom w:val="single" w:color="auto" w:sz="8" w:space="0"/>
              <w:right w:val="single" w:color="auto" w:sz="4" w:space="0"/>
            </w:tcBorders>
            <w:vAlign w:val="center"/>
          </w:tcPr>
          <w:p w14:paraId="5292F245">
            <w:pPr>
              <w:pStyle w:val="179"/>
              <w:widowControl w:val="0"/>
              <w:rPr>
                <w:rFonts w:ascii="Times New Roman"/>
                <w:color w:val="000000"/>
                <w:sz w:val="20"/>
              </w:rPr>
            </w:pPr>
            <w:r>
              <w:rPr>
                <w:rFonts w:ascii="Times New Roman"/>
                <w:color w:val="000000"/>
                <w:sz w:val="20"/>
              </w:rPr>
              <w:t>中果（M）</w:t>
            </w:r>
          </w:p>
        </w:tc>
        <w:tc>
          <w:tcPr>
            <w:tcW w:w="1591" w:type="dxa"/>
            <w:tcBorders>
              <w:top w:val="single" w:color="auto" w:sz="8" w:space="0"/>
              <w:left w:val="single" w:color="auto" w:sz="4" w:space="0"/>
              <w:bottom w:val="single" w:color="auto" w:sz="8" w:space="0"/>
              <w:right w:val="single" w:color="auto" w:sz="8" w:space="0"/>
            </w:tcBorders>
            <w:vAlign w:val="center"/>
          </w:tcPr>
          <w:p w14:paraId="6E38CCA9">
            <w:pPr>
              <w:pStyle w:val="179"/>
              <w:widowControl w:val="0"/>
              <w:rPr>
                <w:rFonts w:ascii="Times New Roman"/>
                <w:color w:val="000000"/>
                <w:sz w:val="20"/>
              </w:rPr>
            </w:pPr>
            <w:r>
              <w:rPr>
                <w:rFonts w:ascii="Times New Roman"/>
                <w:color w:val="000000"/>
                <w:sz w:val="20"/>
              </w:rPr>
              <w:t>大果（L）</w:t>
            </w:r>
          </w:p>
        </w:tc>
        <w:tc>
          <w:tcPr>
            <w:tcW w:w="1684" w:type="dxa"/>
            <w:tcBorders>
              <w:top w:val="single" w:color="auto" w:sz="8" w:space="0"/>
              <w:left w:val="single" w:color="auto" w:sz="4" w:space="0"/>
              <w:bottom w:val="single" w:color="auto" w:sz="8" w:space="0"/>
              <w:right w:val="single" w:color="auto" w:sz="8" w:space="0"/>
            </w:tcBorders>
            <w:vAlign w:val="center"/>
          </w:tcPr>
          <w:p w14:paraId="40C10A55">
            <w:pPr>
              <w:pStyle w:val="179"/>
              <w:widowControl w:val="0"/>
              <w:rPr>
                <w:rFonts w:ascii="Times New Roman"/>
                <w:color w:val="000000"/>
                <w:sz w:val="20"/>
              </w:rPr>
            </w:pPr>
            <w:r>
              <w:rPr>
                <w:rFonts w:hint="eastAsia" w:ascii="Times New Roman"/>
                <w:color w:val="000000"/>
                <w:sz w:val="20"/>
              </w:rPr>
              <w:t>特大果（XL）</w:t>
            </w:r>
          </w:p>
        </w:tc>
      </w:tr>
      <w:tr w14:paraId="1E3F1B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39" w:hRule="atLeast"/>
        </w:trPr>
        <w:tc>
          <w:tcPr>
            <w:tcW w:w="1603" w:type="dxa"/>
            <w:tcBorders>
              <w:top w:val="single" w:color="auto" w:sz="8" w:space="0"/>
              <w:left w:val="single" w:color="auto" w:sz="8" w:space="0"/>
              <w:bottom w:val="single" w:color="auto" w:sz="8" w:space="0"/>
              <w:right w:val="single" w:color="auto" w:sz="4" w:space="0"/>
            </w:tcBorders>
            <w:vAlign w:val="center"/>
          </w:tcPr>
          <w:p w14:paraId="54BF43ED">
            <w:pPr>
              <w:pStyle w:val="179"/>
              <w:widowControl w:val="0"/>
              <w:rPr>
                <w:rFonts w:ascii="Times New Roman"/>
                <w:color w:val="000000"/>
                <w:sz w:val="20"/>
              </w:rPr>
            </w:pPr>
            <w:r>
              <w:rPr>
                <w:rFonts w:ascii="Times New Roman"/>
                <w:color w:val="000000"/>
                <w:sz w:val="20"/>
              </w:rPr>
              <w:t>横径，mm</w:t>
            </w:r>
          </w:p>
        </w:tc>
        <w:tc>
          <w:tcPr>
            <w:tcW w:w="1900" w:type="dxa"/>
            <w:tcBorders>
              <w:top w:val="single" w:color="auto" w:sz="8" w:space="0"/>
              <w:left w:val="single" w:color="auto" w:sz="4" w:space="0"/>
              <w:bottom w:val="single" w:color="auto" w:sz="8" w:space="0"/>
              <w:right w:val="single" w:color="auto" w:sz="4" w:space="0"/>
            </w:tcBorders>
            <w:vAlign w:val="center"/>
          </w:tcPr>
          <w:p w14:paraId="4C0CA2FB">
            <w:pPr>
              <w:pStyle w:val="179"/>
              <w:widowControl w:val="0"/>
              <w:rPr>
                <w:rFonts w:ascii="Times New Roman"/>
                <w:color w:val="000000"/>
                <w:sz w:val="20"/>
              </w:rPr>
            </w:pPr>
            <w:r>
              <w:rPr>
                <w:rFonts w:ascii="Times New Roman"/>
                <w:color w:val="000000" w:themeColor="text1"/>
                <w:sz w:val="20"/>
                <w14:textFill>
                  <w14:solidFill>
                    <w14:schemeClr w14:val="tx1"/>
                  </w14:solidFill>
                </w14:textFill>
              </w:rPr>
              <w:t>≥</w:t>
            </w:r>
            <w:r>
              <w:rPr>
                <w:rFonts w:ascii="Times New Roman"/>
                <w:color w:val="000000"/>
                <w:sz w:val="20"/>
              </w:rPr>
              <w:t>7</w:t>
            </w:r>
            <w:r>
              <w:rPr>
                <w:rFonts w:hint="eastAsia" w:ascii="Times New Roman"/>
                <w:color w:val="000000"/>
                <w:sz w:val="20"/>
              </w:rPr>
              <w:t>0，＜75</w:t>
            </w:r>
          </w:p>
        </w:tc>
        <w:tc>
          <w:tcPr>
            <w:tcW w:w="1917" w:type="dxa"/>
            <w:tcBorders>
              <w:top w:val="single" w:color="auto" w:sz="8" w:space="0"/>
              <w:left w:val="single" w:color="auto" w:sz="4" w:space="0"/>
              <w:bottom w:val="single" w:color="auto" w:sz="8" w:space="0"/>
              <w:right w:val="single" w:color="auto" w:sz="4" w:space="0"/>
            </w:tcBorders>
            <w:vAlign w:val="center"/>
          </w:tcPr>
          <w:p w14:paraId="1FBAFA0E">
            <w:pPr>
              <w:pStyle w:val="179"/>
              <w:widowControl w:val="0"/>
              <w:rPr>
                <w:rFonts w:ascii="Times New Roman"/>
                <w:color w:val="000000"/>
                <w:sz w:val="20"/>
              </w:rPr>
            </w:pPr>
            <w:r>
              <w:rPr>
                <w:rFonts w:hint="eastAsia" w:ascii="Times New Roman"/>
                <w:color w:val="000000" w:themeColor="text1"/>
                <w:sz w:val="20"/>
                <w14:textFill>
                  <w14:solidFill>
                    <w14:schemeClr w14:val="tx1"/>
                  </w14:solidFill>
                </w14:textFill>
              </w:rPr>
              <w:t>≥75，＜</w:t>
            </w:r>
            <w:r>
              <w:rPr>
                <w:rFonts w:hint="eastAsia" w:ascii="Times New Roman"/>
                <w:color w:val="000000"/>
                <w:sz w:val="20"/>
              </w:rPr>
              <w:t>80</w:t>
            </w:r>
          </w:p>
        </w:tc>
        <w:tc>
          <w:tcPr>
            <w:tcW w:w="1591" w:type="dxa"/>
            <w:tcBorders>
              <w:top w:val="single" w:color="auto" w:sz="8" w:space="0"/>
              <w:left w:val="single" w:color="auto" w:sz="4" w:space="0"/>
              <w:bottom w:val="single" w:color="auto" w:sz="8" w:space="0"/>
              <w:right w:val="single" w:color="auto" w:sz="8" w:space="0"/>
            </w:tcBorders>
            <w:vAlign w:val="center"/>
          </w:tcPr>
          <w:p w14:paraId="10359370">
            <w:pPr>
              <w:pStyle w:val="179"/>
              <w:widowControl w:val="0"/>
              <w:rPr>
                <w:rFonts w:ascii="Times New Roman"/>
                <w:color w:val="000000"/>
                <w:sz w:val="20"/>
              </w:rPr>
            </w:pPr>
            <w:r>
              <w:rPr>
                <w:rFonts w:hint="eastAsia" w:ascii="Times New Roman"/>
                <w:color w:val="000000" w:themeColor="text1"/>
                <w:sz w:val="20"/>
                <w14:textFill>
                  <w14:solidFill>
                    <w14:schemeClr w14:val="tx1"/>
                  </w14:solidFill>
                </w14:textFill>
              </w:rPr>
              <w:t>≥80，＜</w:t>
            </w:r>
            <w:r>
              <w:rPr>
                <w:rFonts w:ascii="Times New Roman"/>
                <w:color w:val="000000"/>
                <w:sz w:val="20"/>
              </w:rPr>
              <w:t>90</w:t>
            </w:r>
          </w:p>
        </w:tc>
        <w:tc>
          <w:tcPr>
            <w:tcW w:w="1684" w:type="dxa"/>
            <w:tcBorders>
              <w:top w:val="single" w:color="auto" w:sz="8" w:space="0"/>
              <w:left w:val="single" w:color="auto" w:sz="4" w:space="0"/>
              <w:bottom w:val="single" w:color="auto" w:sz="8" w:space="0"/>
              <w:right w:val="single" w:color="auto" w:sz="8" w:space="0"/>
            </w:tcBorders>
            <w:vAlign w:val="center"/>
          </w:tcPr>
          <w:p w14:paraId="10492101">
            <w:pPr>
              <w:pStyle w:val="179"/>
              <w:widowControl w:val="0"/>
              <w:rPr>
                <w:rFonts w:ascii="Times New Roman"/>
                <w:color w:val="000000"/>
                <w:sz w:val="20"/>
              </w:rPr>
            </w:pPr>
            <w:r>
              <w:rPr>
                <w:rFonts w:hint="eastAsia" w:ascii="Times New Roman"/>
                <w:color w:val="000000"/>
                <w:sz w:val="20"/>
              </w:rPr>
              <w:t>≥90</w:t>
            </w:r>
          </w:p>
        </w:tc>
      </w:tr>
    </w:tbl>
    <w:p w14:paraId="0B5AEFAD">
      <w:pPr>
        <w:pStyle w:val="105"/>
        <w:spacing w:before="240" w:after="240"/>
      </w:pPr>
      <w:r>
        <w:rPr>
          <w:rFonts w:hint="eastAsia"/>
        </w:rPr>
        <w:t>检验方法</w:t>
      </w:r>
    </w:p>
    <w:p w14:paraId="63B17F4F">
      <w:pPr>
        <w:pStyle w:val="106"/>
        <w:spacing w:before="120" w:after="120"/>
        <w:rPr>
          <w:rFonts w:ascii="宋体" w:hAnsi="宋体" w:eastAsia="宋体"/>
          <w:color w:val="000000"/>
          <w:sz w:val="20"/>
        </w:rPr>
      </w:pPr>
      <w:r>
        <w:rPr>
          <w:rFonts w:hint="eastAsia" w:ascii="宋体" w:hAnsi="宋体" w:eastAsia="宋体"/>
          <w:color w:val="000000"/>
          <w:sz w:val="20"/>
        </w:rPr>
        <w:t>偏斜度测量时，将苹果萼洼朝下放置于水平桌面，分别测量果肩最高处和最低处距离桌面距离，然后按照公示（1）计算。</w:t>
      </w:r>
    </w:p>
    <w:p w14:paraId="068A7C8D">
      <w:pPr>
        <w:pStyle w:val="114"/>
      </w:pPr>
      <w:r>
        <w:tab/>
      </w:r>
      <m:oMath>
        <m:r>
          <m:rPr/>
          <w:rPr>
            <w:rFonts w:ascii="Cambria Math" w:hAnsi="Cambria Math"/>
          </w:rPr>
          <m:t>X=</m:t>
        </m:r>
        <m:f>
          <m:fPr>
            <m:ctrlPr>
              <w:rPr>
                <w:rFonts w:ascii="Cambria Math" w:hAnsi="Cambria Math"/>
                <w:i/>
              </w:rPr>
            </m:ctrlPr>
          </m:fPr>
          <m:num>
            <m:r>
              <m:rPr/>
              <w:rPr>
                <w:rFonts w:ascii="Cambria Math" w:hAnsi="Cambria Math"/>
              </w:rPr>
              <m:t>L1−L2</m:t>
            </m:r>
            <m:ctrlPr>
              <w:rPr>
                <w:rFonts w:ascii="Cambria Math" w:hAnsi="Cambria Math"/>
                <w:i/>
              </w:rPr>
            </m:ctrlPr>
          </m:num>
          <m:den>
            <m:r>
              <m:rPr/>
              <w:rPr>
                <w:rFonts w:ascii="Cambria Math" w:hAnsi="Cambria Math"/>
              </w:rPr>
              <m:t>L1</m:t>
            </m:r>
            <m:ctrlPr>
              <w:rPr>
                <w:rFonts w:ascii="Cambria Math" w:hAnsi="Cambria Math"/>
                <w:i/>
              </w:rPr>
            </m:ctrlPr>
          </m:den>
        </m:f>
        <m:r>
          <m:rPr/>
          <w:rPr>
            <w:rFonts w:ascii="Cambria Math" w:hAnsi="Cambria Math"/>
          </w:rPr>
          <m:t>∗100</m:t>
        </m:r>
      </m:oMath>
      <w:r>
        <w:rPr>
          <w:rFonts w:ascii="微软雅黑" w:hAnsi="微软雅黑" w:eastAsia="微软雅黑"/>
        </w:rPr>
        <w:tab/>
      </w:r>
      <w:r>
        <w:t>(</w:t>
      </w:r>
      <w:r>
        <w:fldChar w:fldCharType="begin"/>
      </w:r>
      <w:r>
        <w:instrText xml:space="preserve"> AUTONUM </w:instrText>
      </w:r>
      <w:r>
        <w:fldChar w:fldCharType="end"/>
      </w:r>
      <w:r>
        <w:t>)</w:t>
      </w:r>
    </w:p>
    <w:p w14:paraId="04F96297">
      <w:pPr>
        <w:pStyle w:val="56"/>
        <w:spacing w:after="0"/>
        <w:ind w:firstLine="420"/>
      </w:pPr>
      <w:r>
        <w:rPr>
          <w:rFonts w:hint="eastAsia"/>
        </w:rPr>
        <w:t>式中：</w:t>
      </w:r>
    </w:p>
    <w:p w14:paraId="3C1FAAFE">
      <w:pPr>
        <w:pStyle w:val="57"/>
        <w:spacing w:after="0"/>
        <w:ind w:firstLine="420"/>
      </w:pPr>
      <w:r>
        <w:t>X——</w:t>
      </w:r>
      <w:r>
        <w:rPr>
          <w:rFonts w:hint="eastAsia"/>
        </w:rPr>
        <w:t>偏斜度，%；</w:t>
      </w:r>
    </w:p>
    <w:p w14:paraId="2F79424B">
      <w:pPr>
        <w:pStyle w:val="57"/>
        <w:spacing w:after="0"/>
        <w:ind w:firstLine="420"/>
      </w:pPr>
      <w:r>
        <w:t>L1——</w:t>
      </w:r>
      <w:r>
        <w:rPr>
          <w:rFonts w:hint="eastAsia"/>
        </w:rPr>
        <w:t>最高果肩距离桌面距离，单位为毫米（mm）；</w:t>
      </w:r>
    </w:p>
    <w:p w14:paraId="7184E8A3">
      <w:pPr>
        <w:pStyle w:val="57"/>
        <w:spacing w:after="0"/>
        <w:ind w:firstLine="420"/>
      </w:pPr>
      <w:r>
        <w:t>L2——</w:t>
      </w:r>
      <w:r>
        <w:rPr>
          <w:rFonts w:hint="eastAsia"/>
        </w:rPr>
        <w:t>最低果肩距离桌面距离，单位为毫米（mm）。</w:t>
      </w:r>
    </w:p>
    <w:bookmarkEnd w:id="22"/>
    <w:p w14:paraId="36E09E36">
      <w:pPr>
        <w:pStyle w:val="106"/>
        <w:spacing w:before="120" w:after="120"/>
        <w:rPr>
          <w:rFonts w:ascii="宋体" w:hAnsi="宋体" w:eastAsia="宋体"/>
        </w:rPr>
      </w:pPr>
      <w:r>
        <w:rPr>
          <w:rFonts w:hint="eastAsia" w:ascii="宋体" w:hAnsi="宋体" w:eastAsia="宋体"/>
        </w:rPr>
        <w:t>其他指标按照GB/T 10651规定执行。</w:t>
      </w:r>
    </w:p>
    <w:p w14:paraId="7DB9439E">
      <w:pPr>
        <w:pStyle w:val="25"/>
        <w:jc w:val="both"/>
        <w:rPr>
          <w:rFonts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rPr>
        <w:t>6 判定规则</w:t>
      </w:r>
    </w:p>
    <w:p w14:paraId="78D5B32D">
      <w:pPr>
        <w:pStyle w:val="25"/>
        <w:spacing w:before="0" w:beforeAutospacing="0" w:after="0" w:afterAutospacing="0"/>
        <w:jc w:val="both"/>
        <w:rPr>
          <w:rFonts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rPr>
        <w:t>6.1 等级容许度</w:t>
      </w:r>
    </w:p>
    <w:p w14:paraId="2405BC66">
      <w:pPr>
        <w:spacing w:after="0" w:line="360" w:lineRule="auto"/>
        <w:ind w:firstLine="400" w:firstLineChars="200"/>
        <w:rPr>
          <w:rFonts w:ascii="Times New Roman" w:hAnsi="Times New Roman"/>
          <w:color w:val="000000"/>
          <w:sz w:val="20"/>
          <w:szCs w:val="20"/>
        </w:rPr>
      </w:pPr>
      <w:bookmarkStart w:id="48" w:name="OLE_LINK2"/>
      <w:r>
        <w:rPr>
          <w:rFonts w:hint="eastAsia" w:ascii="Times New Roman" w:hAnsi="Times New Roman"/>
          <w:color w:val="000000"/>
          <w:sz w:val="20"/>
          <w:szCs w:val="20"/>
        </w:rPr>
        <w:t>6.1.1 同一批次的着色、可溶性固形物、总酸含量按照第5章检测结果平均值计算；</w:t>
      </w:r>
    </w:p>
    <w:p w14:paraId="24056763">
      <w:pPr>
        <w:spacing w:after="0" w:line="360" w:lineRule="auto"/>
        <w:ind w:firstLine="400" w:firstLineChars="200"/>
        <w:rPr>
          <w:rFonts w:ascii="Times New Roman" w:hAnsi="Times New Roman"/>
          <w:color w:val="000000"/>
          <w:sz w:val="20"/>
          <w:szCs w:val="20"/>
        </w:rPr>
      </w:pPr>
      <w:r>
        <w:rPr>
          <w:rFonts w:hint="eastAsia" w:ascii="Times New Roman" w:hAnsi="Times New Roman"/>
          <w:color w:val="000000"/>
          <w:sz w:val="20"/>
          <w:szCs w:val="20"/>
        </w:rPr>
        <w:t>6.1.2 同一批次的特级果不得有畸形，一级果允许有不超过10%的轻微畸形，二级果允许有不超过25%的畸形。</w:t>
      </w:r>
    </w:p>
    <w:p w14:paraId="5C650344">
      <w:pPr>
        <w:spacing w:after="0" w:line="360" w:lineRule="auto"/>
        <w:ind w:firstLine="400" w:firstLineChars="200"/>
        <w:rPr>
          <w:rFonts w:ascii="Times New Roman" w:hAnsi="Times New Roman"/>
          <w:color w:val="000000"/>
          <w:sz w:val="20"/>
          <w:szCs w:val="20"/>
        </w:rPr>
      </w:pPr>
      <w:r>
        <w:rPr>
          <w:rFonts w:hint="eastAsia" w:ascii="Times New Roman" w:hAnsi="Times New Roman"/>
          <w:color w:val="000000"/>
          <w:sz w:val="20"/>
          <w:szCs w:val="20"/>
        </w:rPr>
        <w:t>6.1.3 同一批次的其他指标应符合以下容许度：</w:t>
      </w:r>
    </w:p>
    <w:p w14:paraId="15762E47">
      <w:pPr>
        <w:spacing w:after="0" w:line="360" w:lineRule="auto"/>
        <w:ind w:firstLine="400" w:firstLineChars="200"/>
        <w:rPr>
          <w:rFonts w:ascii="Times New Roman" w:hAnsi="Times New Roman"/>
          <w:color w:val="000000"/>
          <w:sz w:val="20"/>
          <w:szCs w:val="20"/>
        </w:rPr>
      </w:pPr>
      <w:r>
        <w:rPr>
          <w:rFonts w:ascii="Times New Roman" w:hAnsi="Times New Roman"/>
          <w:color w:val="000000"/>
          <w:sz w:val="20"/>
          <w:szCs w:val="20"/>
        </w:rPr>
        <w:t>a） 特级果允许有5%的果实不符合本等级规定的质量要求，但要符合一级果规定的要求。</w:t>
      </w:r>
    </w:p>
    <w:bookmarkEnd w:id="48"/>
    <w:p w14:paraId="3AF41C10">
      <w:pPr>
        <w:spacing w:after="0" w:line="360" w:lineRule="auto"/>
        <w:ind w:firstLine="400" w:firstLineChars="200"/>
        <w:rPr>
          <w:rFonts w:ascii="Times New Roman" w:hAnsi="Times New Roman"/>
          <w:color w:val="000000"/>
          <w:sz w:val="20"/>
          <w:szCs w:val="20"/>
        </w:rPr>
      </w:pPr>
      <w:r>
        <w:rPr>
          <w:rFonts w:ascii="Times New Roman" w:hAnsi="Times New Roman"/>
          <w:color w:val="000000"/>
          <w:sz w:val="20"/>
          <w:szCs w:val="20"/>
        </w:rPr>
        <w:t>b） 一级果允许有10%的果实不符合本等级规定的质量要求，但要符合二级果规定的要求。</w:t>
      </w:r>
    </w:p>
    <w:p w14:paraId="4B375FD4">
      <w:pPr>
        <w:spacing w:after="0" w:line="360" w:lineRule="auto"/>
        <w:ind w:firstLine="400" w:firstLineChars="200"/>
        <w:rPr>
          <w:rFonts w:ascii="Times New Roman" w:hAnsi="Times New Roman"/>
          <w:color w:val="000000"/>
          <w:sz w:val="20"/>
          <w:szCs w:val="20"/>
        </w:rPr>
      </w:pPr>
      <w:bookmarkStart w:id="49" w:name="OLE_LINK1"/>
      <w:r>
        <w:rPr>
          <w:rFonts w:ascii="Times New Roman" w:hAnsi="Times New Roman"/>
          <w:color w:val="000000"/>
          <w:sz w:val="20"/>
          <w:szCs w:val="20"/>
        </w:rPr>
        <w:t>c</w:t>
      </w:r>
      <w:bookmarkStart w:id="50" w:name="OLE_LINK3"/>
      <w:r>
        <w:rPr>
          <w:rFonts w:ascii="Times New Roman" w:hAnsi="Times New Roman"/>
          <w:color w:val="000000"/>
          <w:sz w:val="20"/>
          <w:szCs w:val="20"/>
        </w:rPr>
        <w:t>） 二级果允许有10%的果实不符合本等级规定的质量要求，但要符合基本要求规定的要求。</w:t>
      </w:r>
      <w:bookmarkEnd w:id="50"/>
    </w:p>
    <w:bookmarkEnd w:id="49"/>
    <w:p w14:paraId="74710567">
      <w:pPr>
        <w:pStyle w:val="25"/>
        <w:spacing w:before="0" w:beforeAutospacing="0" w:after="0" w:afterAutospacing="0"/>
        <w:jc w:val="both"/>
        <w:rPr>
          <w:rFonts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rPr>
        <w:t>6</w:t>
      </w:r>
      <w:r>
        <w:rPr>
          <w:rFonts w:ascii="Times New Roman" w:hAnsi="Times New Roman" w:eastAsia="黑体" w:cs="Times New Roman"/>
          <w:color w:val="000000"/>
          <w:sz w:val="20"/>
          <w:szCs w:val="20"/>
        </w:rPr>
        <w:t>.2</w:t>
      </w:r>
      <w:r>
        <w:rPr>
          <w:rFonts w:hint="eastAsia" w:ascii="Times New Roman" w:hAnsi="Times New Roman" w:eastAsia="黑体" w:cs="Times New Roman"/>
          <w:color w:val="000000"/>
          <w:sz w:val="20"/>
          <w:szCs w:val="20"/>
        </w:rPr>
        <w:t>规格</w:t>
      </w:r>
      <w:r>
        <w:rPr>
          <w:rFonts w:ascii="黑体" w:hAnsi="黑体" w:eastAsia="黑体" w:cs="Times New Roman"/>
          <w:color w:val="000000"/>
          <w:sz w:val="20"/>
          <w:szCs w:val="20"/>
        </w:rPr>
        <w:t>容许度</w:t>
      </w:r>
    </w:p>
    <w:p w14:paraId="12E91207">
      <w:pPr>
        <w:pStyle w:val="57"/>
        <w:ind w:firstLine="420"/>
        <w:rPr>
          <w:szCs w:val="22"/>
        </w:rPr>
      </w:pPr>
      <w:bookmarkStart w:id="51" w:name="OLE_LINK7"/>
      <w:bookmarkStart w:id="52" w:name="OLE_LINK6"/>
      <w:r>
        <w:rPr>
          <w:szCs w:val="22"/>
        </w:rPr>
        <w:t>各</w:t>
      </w:r>
      <w:bookmarkEnd w:id="51"/>
      <w:r>
        <w:rPr>
          <w:szCs w:val="22"/>
        </w:rPr>
        <w:t>等级对果径有规定的苹果，允许有5%</w:t>
      </w:r>
      <w:r>
        <w:rPr>
          <w:rFonts w:hint="eastAsia"/>
          <w:szCs w:val="22"/>
        </w:rPr>
        <w:t>的苹果高</w:t>
      </w:r>
      <w:r>
        <w:rPr>
          <w:szCs w:val="22"/>
        </w:rPr>
        <w:t>于或低于规定果径差别的范围，但在全批货物中果实大小差异不宜过于显著。</w:t>
      </w:r>
    </w:p>
    <w:bookmarkEnd w:id="52"/>
    <w:p w14:paraId="3F19AD76">
      <w:pPr>
        <w:pStyle w:val="25"/>
        <w:spacing w:before="0" w:beforeAutospacing="0" w:after="0" w:afterAutospacing="0"/>
        <w:jc w:val="both"/>
        <w:rPr>
          <w:rFonts w:ascii="Times New Roman" w:hAnsi="Times New Roman" w:eastAsia="黑体" w:cs="Times New Roman"/>
          <w:color w:val="000000"/>
          <w:sz w:val="20"/>
          <w:szCs w:val="20"/>
        </w:rPr>
      </w:pPr>
      <w:r>
        <w:rPr>
          <w:rFonts w:hint="eastAsia" w:ascii="Times New Roman" w:hAnsi="Times New Roman" w:eastAsia="黑体" w:cs="Times New Roman"/>
          <w:color w:val="000000"/>
          <w:sz w:val="20"/>
          <w:szCs w:val="20"/>
        </w:rPr>
        <w:t>6.3 判定</w:t>
      </w:r>
    </w:p>
    <w:p w14:paraId="56DCF7A7">
      <w:pPr>
        <w:pStyle w:val="166"/>
        <w:numPr>
          <w:ilvl w:val="0"/>
          <w:numId w:val="0"/>
        </w:numPr>
        <w:ind w:firstLine="420" w:firstLineChars="200"/>
        <w:rPr>
          <w:rFonts w:ascii="Times New Roman"/>
        </w:rPr>
      </w:pPr>
      <w:r>
        <w:rPr>
          <w:rFonts w:ascii="Times New Roman"/>
        </w:rPr>
        <w:t>6.3.1苹果等级按照第5章检验结果和6.1进行判定,符合相应等级要求和容许度要求,判定为符合本文件的相应等级;未达到相应级别对应的全部指标要求时,则以最低级别指标判定为符合本文件规定的相应等级。</w:t>
      </w:r>
    </w:p>
    <w:p w14:paraId="735D406B">
      <w:pPr>
        <w:pStyle w:val="166"/>
        <w:numPr>
          <w:ilvl w:val="0"/>
          <w:numId w:val="0"/>
        </w:numPr>
        <w:ind w:firstLine="420" w:firstLineChars="200"/>
        <w:rPr>
          <w:rFonts w:ascii="Times New Roman"/>
        </w:rPr>
      </w:pPr>
      <w:r>
        <w:rPr>
          <w:rFonts w:hint="eastAsia" w:ascii="Times New Roman"/>
        </w:rPr>
        <w:t>6.3.2 苹果规格按照</w:t>
      </w:r>
      <w:r>
        <w:rPr>
          <w:rFonts w:ascii="Times New Roman"/>
        </w:rPr>
        <w:t>第5章检验结果和6.</w:t>
      </w:r>
      <w:r>
        <w:rPr>
          <w:rFonts w:hint="eastAsia" w:ascii="Times New Roman"/>
        </w:rPr>
        <w:t>2进行判定，</w:t>
      </w:r>
      <w:r>
        <w:rPr>
          <w:rFonts w:ascii="Times New Roman"/>
        </w:rPr>
        <w:t>符合相应</w:t>
      </w:r>
      <w:r>
        <w:rPr>
          <w:rFonts w:hint="eastAsia" w:ascii="Times New Roman"/>
        </w:rPr>
        <w:t>规格</w:t>
      </w:r>
      <w:r>
        <w:rPr>
          <w:rFonts w:ascii="Times New Roman"/>
        </w:rPr>
        <w:t>要求和容许度要求,判定为符合本文件的相应</w:t>
      </w:r>
      <w:r>
        <w:rPr>
          <w:rFonts w:hint="eastAsia" w:ascii="Times New Roman"/>
        </w:rPr>
        <w:t>规格。</w:t>
      </w:r>
    </w:p>
    <w:p w14:paraId="23112CB1">
      <w:pPr>
        <w:pStyle w:val="166"/>
        <w:numPr>
          <w:ilvl w:val="0"/>
          <w:numId w:val="0"/>
        </w:numPr>
        <w:ind w:firstLine="400" w:firstLineChars="200"/>
        <w:rPr>
          <w:rFonts w:ascii="Times New Roman"/>
        </w:rPr>
      </w:pPr>
      <w:r>
        <w:rPr>
          <w:rFonts w:ascii="Times New Roman" w:eastAsia="黑体"/>
          <w:color w:val="000000"/>
          <w:sz w:val="20"/>
        </w:rPr>
        <w:t>6.3.</w:t>
      </w:r>
      <w:r>
        <w:rPr>
          <w:rFonts w:hint="eastAsia" w:ascii="Times New Roman" w:eastAsia="黑体"/>
          <w:color w:val="000000"/>
          <w:sz w:val="20"/>
        </w:rPr>
        <w:t>3</w:t>
      </w:r>
      <w:r>
        <w:rPr>
          <w:rFonts w:ascii="Times New Roman" w:eastAsia="黑体"/>
          <w:color w:val="000000"/>
          <w:sz w:val="20"/>
        </w:rPr>
        <w:t xml:space="preserve"> </w:t>
      </w:r>
      <w:r>
        <w:rPr>
          <w:rFonts w:ascii="Times New Roman"/>
        </w:rPr>
        <w:t>对检测结果产生异议时,允许用备用样复检一次；条件允许可再次抽样,复检结果为判定结果。</w:t>
      </w:r>
    </w:p>
    <w:p w14:paraId="2980ACE2">
      <w:pPr>
        <w:pStyle w:val="25"/>
        <w:spacing w:before="0" w:beforeAutospacing="0" w:after="0" w:afterAutospacing="0"/>
        <w:ind w:firstLine="400" w:firstLineChars="200"/>
        <w:jc w:val="both"/>
        <w:rPr>
          <w:rFonts w:ascii="Times New Roman" w:hAnsi="Times New Roman" w:cs="Times New Roman"/>
          <w:color w:val="000000"/>
          <w:sz w:val="20"/>
          <w:szCs w:val="20"/>
        </w:rPr>
      </w:pPr>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706E5">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88771">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2BA33">
    <w:pPr>
      <w:pStyle w:val="53"/>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6F6FC">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4F3B9F">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A0BC7">
    <w:pPr>
      <w:pStyle w:val="62"/>
    </w:pPr>
    <w:r>
      <w:fldChar w:fldCharType="begin"/>
    </w:r>
    <w:r>
      <w:instrText xml:space="preserve"> STYLEREF  标准文件_文件编号  \* MERGEFORMAT </w:instrText>
    </w:r>
    <w:r>
      <w:fldChar w:fldCharType="separate"/>
    </w:r>
    <w: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2AABF1">
    <w:pPr>
      <w:pStyle w:val="18"/>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attachedTemplate r:id="rId1"/>
  <w:documentProtection w:edit="forms" w:enforcement="1" w:cryptProviderType="rsaAES" w:cryptAlgorithmClass="hash" w:cryptAlgorithmType="typeAny" w:cryptAlgorithmSid="14" w:cryptSpinCount="100000" w:hash="B6TeLOOfbBB5mZtCV5yvvYOVraQ2XV8u5ob4nbDuWD4Mkxs+8Zm3kcUbBmMs914m9sXYRJdHBKNvIuV+WCDxOA==" w:salt="8zGIhZGxbO/o54KvGq/DmQ=="/>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6C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83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444"/>
    <w:rsid w:val="000E4C9E"/>
    <w:rsid w:val="000E5CF1"/>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476"/>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C44"/>
    <w:rsid w:val="00292D60"/>
    <w:rsid w:val="00293B30"/>
    <w:rsid w:val="00294D34"/>
    <w:rsid w:val="00294E3B"/>
    <w:rsid w:val="00296193"/>
    <w:rsid w:val="00296C66"/>
    <w:rsid w:val="00296EBE"/>
    <w:rsid w:val="002974E3"/>
    <w:rsid w:val="002A084B"/>
    <w:rsid w:val="002A1260"/>
    <w:rsid w:val="002A1589"/>
    <w:rsid w:val="002A1608"/>
    <w:rsid w:val="002A25DC"/>
    <w:rsid w:val="002A2870"/>
    <w:rsid w:val="002A3AAB"/>
    <w:rsid w:val="002A4584"/>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2F67"/>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379CA"/>
    <w:rsid w:val="0034194F"/>
    <w:rsid w:val="00344605"/>
    <w:rsid w:val="003474AA"/>
    <w:rsid w:val="00350D1D"/>
    <w:rsid w:val="00352C83"/>
    <w:rsid w:val="00352F1A"/>
    <w:rsid w:val="0036107C"/>
    <w:rsid w:val="003615D2"/>
    <w:rsid w:val="0036429C"/>
    <w:rsid w:val="003648CA"/>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6C4"/>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28DE"/>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97F"/>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7D"/>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1CA3"/>
    <w:rsid w:val="004D2253"/>
    <w:rsid w:val="004D4406"/>
    <w:rsid w:val="004D7C42"/>
    <w:rsid w:val="004E0465"/>
    <w:rsid w:val="004E127B"/>
    <w:rsid w:val="004E1C0A"/>
    <w:rsid w:val="004E30C5"/>
    <w:rsid w:val="004E4AA5"/>
    <w:rsid w:val="004E4AEE"/>
    <w:rsid w:val="004E59E3"/>
    <w:rsid w:val="004E67C0"/>
    <w:rsid w:val="004F0AA8"/>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6AD"/>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4A3D"/>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4BB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35D"/>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0C8"/>
    <w:rsid w:val="008E0C9D"/>
    <w:rsid w:val="008E1648"/>
    <w:rsid w:val="008E1B3E"/>
    <w:rsid w:val="008E2319"/>
    <w:rsid w:val="008E4BB6"/>
    <w:rsid w:val="008E5518"/>
    <w:rsid w:val="008E6A84"/>
    <w:rsid w:val="008F0CDC"/>
    <w:rsid w:val="008F17A3"/>
    <w:rsid w:val="008F1ED3"/>
    <w:rsid w:val="008F4C29"/>
    <w:rsid w:val="008F62AD"/>
    <w:rsid w:val="008F70BD"/>
    <w:rsid w:val="008F788F"/>
    <w:rsid w:val="008F7EA2"/>
    <w:rsid w:val="009000E4"/>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604"/>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6D85"/>
    <w:rsid w:val="00977010"/>
    <w:rsid w:val="00977D02"/>
    <w:rsid w:val="00977FF9"/>
    <w:rsid w:val="009809BB"/>
    <w:rsid w:val="0098364B"/>
    <w:rsid w:val="009908A3"/>
    <w:rsid w:val="009911AF"/>
    <w:rsid w:val="00991875"/>
    <w:rsid w:val="00991F92"/>
    <w:rsid w:val="00992985"/>
    <w:rsid w:val="00992E42"/>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727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18"/>
    <w:rsid w:val="00A4661E"/>
    <w:rsid w:val="00A5482B"/>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522"/>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0812"/>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1395"/>
    <w:rsid w:val="00B52120"/>
    <w:rsid w:val="00B54ABC"/>
    <w:rsid w:val="00B56FBE"/>
    <w:rsid w:val="00B60ACF"/>
    <w:rsid w:val="00B62B58"/>
    <w:rsid w:val="00B65149"/>
    <w:rsid w:val="00B66567"/>
    <w:rsid w:val="00B66F52"/>
    <w:rsid w:val="00B66FE5"/>
    <w:rsid w:val="00B673D0"/>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1EB"/>
    <w:rsid w:val="00CB2C0B"/>
    <w:rsid w:val="00CB517D"/>
    <w:rsid w:val="00CC038D"/>
    <w:rsid w:val="00CC08DB"/>
    <w:rsid w:val="00CC39FF"/>
    <w:rsid w:val="00CC3C2F"/>
    <w:rsid w:val="00CC4AC8"/>
    <w:rsid w:val="00CC5233"/>
    <w:rsid w:val="00CC5DE6"/>
    <w:rsid w:val="00CC6E4E"/>
    <w:rsid w:val="00CC6FE8"/>
    <w:rsid w:val="00CC7202"/>
    <w:rsid w:val="00CD0A06"/>
    <w:rsid w:val="00CD2808"/>
    <w:rsid w:val="00CD28BF"/>
    <w:rsid w:val="00CD4092"/>
    <w:rsid w:val="00CD4A20"/>
    <w:rsid w:val="00CD50A1"/>
    <w:rsid w:val="00CD519E"/>
    <w:rsid w:val="00CD7C2D"/>
    <w:rsid w:val="00CE0C4F"/>
    <w:rsid w:val="00CE30EA"/>
    <w:rsid w:val="00CF048A"/>
    <w:rsid w:val="00CF155A"/>
    <w:rsid w:val="00CF2947"/>
    <w:rsid w:val="00CF3F28"/>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1935"/>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6A30"/>
    <w:rsid w:val="00ED067A"/>
    <w:rsid w:val="00ED2B50"/>
    <w:rsid w:val="00ED32AA"/>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19C"/>
    <w:rsid w:val="00F12263"/>
    <w:rsid w:val="00F1409D"/>
    <w:rsid w:val="00F14214"/>
    <w:rsid w:val="00F157A9"/>
    <w:rsid w:val="00F16F00"/>
    <w:rsid w:val="00F25BB6"/>
    <w:rsid w:val="00F26B7E"/>
    <w:rsid w:val="00F27A3B"/>
    <w:rsid w:val="00F32780"/>
    <w:rsid w:val="00F33817"/>
    <w:rsid w:val="00F3515A"/>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7B53"/>
    <w:rsid w:val="00F833BA"/>
    <w:rsid w:val="00F84FD0"/>
    <w:rsid w:val="00F859A8"/>
    <w:rsid w:val="00F86D87"/>
    <w:rsid w:val="00F9108B"/>
    <w:rsid w:val="00F9110D"/>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941414"/>
    <w:rsid w:val="060D6AB6"/>
    <w:rsid w:val="0619721E"/>
    <w:rsid w:val="073E3A86"/>
    <w:rsid w:val="09B32E65"/>
    <w:rsid w:val="0ACC5A34"/>
    <w:rsid w:val="0D95362E"/>
    <w:rsid w:val="10BE2E9B"/>
    <w:rsid w:val="1470673F"/>
    <w:rsid w:val="14AD25C6"/>
    <w:rsid w:val="1CDE7E9A"/>
    <w:rsid w:val="1D284549"/>
    <w:rsid w:val="1DEA0EA4"/>
    <w:rsid w:val="1E9F1BC6"/>
    <w:rsid w:val="205A075B"/>
    <w:rsid w:val="23747613"/>
    <w:rsid w:val="23FD1D6B"/>
    <w:rsid w:val="241119CD"/>
    <w:rsid w:val="2421531F"/>
    <w:rsid w:val="27206206"/>
    <w:rsid w:val="27814F4A"/>
    <w:rsid w:val="27A66668"/>
    <w:rsid w:val="29A52CB5"/>
    <w:rsid w:val="2B5F7125"/>
    <w:rsid w:val="2C1F6FF0"/>
    <w:rsid w:val="2C5F5FCA"/>
    <w:rsid w:val="2E2D7714"/>
    <w:rsid w:val="30D455A5"/>
    <w:rsid w:val="318625CD"/>
    <w:rsid w:val="33B31F0B"/>
    <w:rsid w:val="37176727"/>
    <w:rsid w:val="378D5773"/>
    <w:rsid w:val="39971BB0"/>
    <w:rsid w:val="3ABA3046"/>
    <w:rsid w:val="40E25F22"/>
    <w:rsid w:val="43EF60DD"/>
    <w:rsid w:val="44DC72E9"/>
    <w:rsid w:val="452D4777"/>
    <w:rsid w:val="46FA362F"/>
    <w:rsid w:val="4868490B"/>
    <w:rsid w:val="4B8464B4"/>
    <w:rsid w:val="51D63A22"/>
    <w:rsid w:val="58C73D39"/>
    <w:rsid w:val="59CF5B14"/>
    <w:rsid w:val="5BDC07D1"/>
    <w:rsid w:val="5CD252D1"/>
    <w:rsid w:val="5D077E91"/>
    <w:rsid w:val="5D465377"/>
    <w:rsid w:val="5F5B121E"/>
    <w:rsid w:val="613320B7"/>
    <w:rsid w:val="64940ACC"/>
    <w:rsid w:val="68576143"/>
    <w:rsid w:val="6B592549"/>
    <w:rsid w:val="6C7B4FDE"/>
    <w:rsid w:val="6E1F5E9D"/>
    <w:rsid w:val="6FA80B0C"/>
    <w:rsid w:val="719470D8"/>
    <w:rsid w:val="74502201"/>
    <w:rsid w:val="750B4439"/>
    <w:rsid w:val="775E759C"/>
    <w:rsid w:val="78E201FC"/>
    <w:rsid w:val="7D9C4D18"/>
    <w:rsid w:val="7F943D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after="160"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after="160"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after="160"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spacing w:after="160" w:line="278" w:lineRule="auto"/>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spacing w:after="160" w:line="278" w:lineRule="auto"/>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spacing w:after="160" w:line="278" w:lineRule="auto"/>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line="278" w:lineRule="auto"/>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spacing w:after="160" w:line="278" w:lineRule="auto"/>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line="278" w:lineRule="auto"/>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line="278" w:lineRule="auto"/>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line="278" w:lineRule="auto"/>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line="278" w:lineRule="auto"/>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line="278" w:lineRule="auto"/>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line="278" w:lineRule="auto"/>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line="278" w:lineRule="auto"/>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line="278" w:lineRule="auto"/>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160" w:afterLines="50" w:line="278" w:lineRule="auto"/>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line="278" w:lineRule="auto"/>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spacing w:after="160" w:line="278" w:lineRule="auto"/>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spacing w:after="160" w:line="278" w:lineRule="auto"/>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line="278" w:lineRule="auto"/>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line="278" w:lineRule="auto"/>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line="278" w:lineRule="auto"/>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spacing w:after="160" w:line="278" w:lineRule="auto"/>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line="278" w:lineRule="auto"/>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spacing w:after="160" w:line="278" w:lineRule="auto"/>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spacing w:after="160" w:line="278" w:lineRule="auto"/>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spacing w:after="160" w:line="278" w:lineRule="auto"/>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spacing w:after="160" w:line="278" w:lineRule="auto"/>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spacing w:after="160" w:line="278" w:lineRule="auto"/>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after="16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after="16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after="160"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after="16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spacing w:after="160" w:line="278" w:lineRule="auto"/>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line="278" w:lineRule="auto"/>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spacing w:after="160" w:line="278" w:lineRule="auto"/>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spacing w:after="160" w:line="278" w:lineRule="auto"/>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spacing w:after="160" w:line="278" w:lineRule="auto"/>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after="160"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after="160"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line="278" w:lineRule="auto"/>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spacing w:after="160" w:line="278" w:lineRule="auto"/>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spacing w:after="160" w:line="278" w:lineRule="auto"/>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after="160"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pPr>
      <w:spacing w:after="160" w:line="278" w:lineRule="auto"/>
    </w:pPr>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spacing w:after="160" w:line="278" w:lineRule="auto"/>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spacing w:after="160" w:line="278" w:lineRule="auto"/>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after="160"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spacing w:after="160" w:line="278" w:lineRule="auto"/>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spacing w:after="160" w:line="278" w:lineRule="auto"/>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spacing w:after="160" w:line="278" w:lineRule="auto"/>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after="160"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vAnchor="page" w:hAnchor="page" w:x="1419" w:y="14097"/>
    </w:pPr>
  </w:style>
  <w:style w:type="paragraph" w:customStyle="1" w:styleId="195">
    <w:name w:val="其他实施日期"/>
    <w:basedOn w:val="155"/>
    <w:qFormat/>
    <w:uiPriority w:val="0"/>
    <w:pPr>
      <w:framePr w:w="3997" w:h="471" w:hRule="exact" w:vSpace="181"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spacing w:after="160" w:line="278" w:lineRule="auto"/>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段"/>
    <w:basedOn w:val="1"/>
    <w:qFormat/>
    <w:uiPriority w:val="0"/>
    <w:pPr>
      <w:widowControl/>
      <w:autoSpaceDE w:val="0"/>
      <w:autoSpaceDN w:val="0"/>
      <w:adjustRightInd/>
      <w:spacing w:line="240" w:lineRule="auto"/>
      <w:ind w:firstLine="420" w:firstLineChars="200"/>
    </w:pPr>
    <w:rPr>
      <w:rFonts w:ascii="宋体" w:hAnsi="Times New Roman"/>
      <w:kern w:val="0"/>
    </w:rPr>
  </w:style>
  <w:style w:type="paragraph" w:customStyle="1" w:styleId="232">
    <w:name w:val="修订1"/>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C5FD3B190464411BB22B226770FBA3E"/>
        <w:style w:val=""/>
        <w:category>
          <w:name w:val="常规"/>
          <w:gallery w:val="placeholder"/>
        </w:category>
        <w:types>
          <w:type w:val="bbPlcHdr"/>
        </w:types>
        <w:behaviors>
          <w:behavior w:val="content"/>
        </w:behaviors>
        <w:description w:val=""/>
        <w:guid w:val="{61937E4A-E487-4A0D-A7D9-5B27F6EAE77B}"/>
      </w:docPartPr>
      <w:docPartBody>
        <w:p w14:paraId="40239AB0">
          <w:pPr>
            <w:pStyle w:val="5"/>
          </w:pPr>
          <w:r>
            <w:rPr>
              <w:rStyle w:val="4"/>
              <w:rFonts w:hint="eastAsia"/>
            </w:rPr>
            <w:t>单击或点击此处输入文字。</w:t>
          </w:r>
        </w:p>
      </w:docPartBody>
    </w:docPart>
    <w:docPart>
      <w:docPartPr>
        <w:name w:val="70480EBC1F044E3CBCA437EFD6C49706"/>
        <w:style w:val=""/>
        <w:category>
          <w:name w:val="常规"/>
          <w:gallery w:val="placeholder"/>
        </w:category>
        <w:types>
          <w:type w:val="bbPlcHdr"/>
        </w:types>
        <w:behaviors>
          <w:behavior w:val="content"/>
        </w:behaviors>
        <w:description w:val=""/>
        <w:guid w:val="{BEC2C72E-997D-4F81-9406-ADE1AAF8CDA8}"/>
      </w:docPartPr>
      <w:docPartBody>
        <w:p w14:paraId="4B73F6B3">
          <w:pPr>
            <w:pStyle w:val="6"/>
          </w:pPr>
          <w:r>
            <w:rPr>
              <w:rStyle w:val="4"/>
              <w:rFonts w:hint="eastAsia"/>
            </w:rPr>
            <w:t>选择一项。</w:t>
          </w:r>
        </w:p>
      </w:docPartBody>
    </w:docPart>
    <w:docPart>
      <w:docPartPr>
        <w:name w:val="9DC2B774A5CE44A3B4BE0F4503990DC3"/>
        <w:style w:val=""/>
        <w:category>
          <w:name w:val="常规"/>
          <w:gallery w:val="placeholder"/>
        </w:category>
        <w:types>
          <w:type w:val="bbPlcHdr"/>
        </w:types>
        <w:behaviors>
          <w:behavior w:val="content"/>
        </w:behaviors>
        <w:description w:val=""/>
        <w:guid w:val="{7D09B73E-02F1-4565-97CD-C8D377A8D848}"/>
      </w:docPartPr>
      <w:docPartBody>
        <w:p w14:paraId="38B89618">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837"/>
    <w:rsid w:val="00283B77"/>
    <w:rsid w:val="006E088E"/>
    <w:rsid w:val="009E486C"/>
    <w:rsid w:val="00CA1837"/>
    <w:rsid w:val="00D95127"/>
    <w:rsid w:val="00D95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C5FD3B190464411BB22B226770FBA3E"/>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customStyle="1" w:styleId="6">
    <w:name w:val="70480EBC1F044E3CBCA437EFD6C49706"/>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 w:type="paragraph" w:customStyle="1" w:styleId="7">
    <w:name w:val="9DC2B774A5CE44A3B4BE0F4503990DC3"/>
    <w:qFormat/>
    <w:uiPriority w:val="0"/>
    <w:pPr>
      <w:widowControl w:val="0"/>
      <w:spacing w:after="160" w:line="278" w:lineRule="auto"/>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018590-155B-41DC-9C65-8772165FE445}">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5</Pages>
  <Words>1028</Words>
  <Characters>1271</Characters>
  <Lines>16</Lines>
  <Paragraphs>4</Paragraphs>
  <TotalTime>0</TotalTime>
  <ScaleCrop>false</ScaleCrop>
  <LinksUpToDate>false</LinksUpToDate>
  <CharactersWithSpaces>1315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2026-07-24T06:56:00Z</dcterms:created>
  <dc:creator>王克健</dc:creator>
  <dc:description>&lt;config cover="true" show_menu="true" version="1.0.0" doctype="SDKXY"&gt;_x000d_
&lt;/config&gt;</dc:description>
  <cp:lastModifiedBy>caia</cp:lastModifiedBy>
  <cp:lastPrinted>2021-02-02T08:22:00Z</cp:lastPrinted>
  <dcterms:modified xsi:type="dcterms:W3CDTF">2026-08-17T02:43:45Z</dcterms:modified>
  <dc:title>团体标准</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2052-12.1.0.28043</vt:lpwstr>
  </property>
  <property fmtid="{D5CDD505-2E9C-101B-9397-08002B2CF9AE}" pid="15" name="KSOTemplateDocerSaveRecord">
    <vt:lpwstr>eyJoZGlkIjoiN2IxZjI5ZDdhYzUzNTY1MzE5MGRjY2M0NDQ3OTk0MjgiLCJ1c2VySWQiOiI0NjIxOTUwMjYifQ==</vt:lpwstr>
  </property>
  <property fmtid="{D5CDD505-2E9C-101B-9397-08002B2CF9AE}" pid="16" name="ICV">
    <vt:lpwstr>0485CD4B18CD41A8BC50E5DC1452AB11_12</vt:lpwstr>
  </property>
</Properties>
</file>